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32386" w14:textId="77777777" w:rsidR="004929BE" w:rsidRPr="00375E22" w:rsidRDefault="004929BE">
      <w:pPr>
        <w:spacing w:after="240" w:line="276" w:lineRule="auto"/>
        <w:jc w:val="center"/>
        <w:rPr>
          <w:rFonts w:ascii="Arial Narrow" w:hAnsi="Arial Narrow" w:cs="Arial Narrow"/>
          <w:b/>
          <w:bCs/>
          <w:sz w:val="28"/>
          <w:szCs w:val="28"/>
          <w:u w:val="single"/>
        </w:rPr>
      </w:pPr>
      <w:r w:rsidRPr="00375E22">
        <w:rPr>
          <w:rFonts w:ascii="Arial Narrow" w:hAnsi="Arial Narrow" w:cs="Arial Narrow"/>
          <w:b/>
          <w:bCs/>
          <w:sz w:val="28"/>
          <w:szCs w:val="28"/>
          <w:u w:val="single"/>
        </w:rPr>
        <w:t>TECHNICKÁ ZPRÁVA VO</w:t>
      </w:r>
    </w:p>
    <w:bookmarkStart w:id="0" w:name="_Toc352834019"/>
    <w:p w14:paraId="51968167" w14:textId="2480B01D" w:rsidR="004929BE" w:rsidRPr="00375E22" w:rsidRDefault="004929BE" w:rsidP="00375E22">
      <w:pPr>
        <w:pStyle w:val="Obsah1"/>
        <w:rPr>
          <w:rFonts w:cs="Calibri"/>
        </w:rPr>
      </w:pPr>
      <w:r w:rsidRPr="00375E22">
        <w:rPr>
          <w:rStyle w:val="Hypertextovodkaz"/>
          <w:rFonts w:ascii="Arial Narrow" w:hAnsi="Arial Narrow"/>
          <w:caps/>
          <w:sz w:val="20"/>
          <w:szCs w:val="20"/>
        </w:rPr>
        <w:fldChar w:fldCharType="begin"/>
      </w:r>
      <w:r w:rsidRPr="00375E22">
        <w:rPr>
          <w:rStyle w:val="Hypertextovodkaz"/>
          <w:rFonts w:ascii="Arial Narrow" w:hAnsi="Arial Narrow"/>
          <w:caps/>
          <w:sz w:val="20"/>
          <w:szCs w:val="20"/>
        </w:rPr>
        <w:instrText xml:space="preserve"> TOC \o "1-3" \h \z \u </w:instrText>
      </w:r>
      <w:r w:rsidRPr="00375E22">
        <w:rPr>
          <w:rStyle w:val="Hypertextovodkaz"/>
          <w:rFonts w:ascii="Arial Narrow" w:hAnsi="Arial Narrow"/>
          <w:caps/>
          <w:sz w:val="20"/>
          <w:szCs w:val="20"/>
        </w:rPr>
        <w:fldChar w:fldCharType="separate"/>
      </w:r>
      <w:hyperlink w:anchor="_Toc109835513" w:history="1">
        <w:r w:rsidRPr="00375E22">
          <w:rPr>
            <w:rStyle w:val="Hypertextovodkaz"/>
            <w:rFonts w:ascii="Arial Narrow" w:hAnsi="Arial Narrow" w:cs="Arial Narrow"/>
          </w:rPr>
          <w:t>D.1.</w:t>
        </w:r>
        <w:r w:rsidRPr="00375E22">
          <w:rPr>
            <w:rFonts w:cs="Calibri"/>
          </w:rPr>
          <w:tab/>
        </w:r>
        <w:r w:rsidRPr="00375E22">
          <w:rPr>
            <w:rStyle w:val="Hypertextovodkaz"/>
            <w:rFonts w:ascii="Arial Narrow" w:hAnsi="Arial Narrow" w:cs="Arial Narrow"/>
          </w:rPr>
          <w:t>Úvod</w:t>
        </w:r>
        <w:r w:rsidRPr="00375E22">
          <w:rPr>
            <w:webHidden/>
          </w:rPr>
          <w:tab/>
        </w:r>
        <w:r w:rsidRPr="00375E22">
          <w:rPr>
            <w:webHidden/>
          </w:rPr>
          <w:fldChar w:fldCharType="begin"/>
        </w:r>
        <w:r w:rsidRPr="00375E22">
          <w:rPr>
            <w:webHidden/>
          </w:rPr>
          <w:instrText xml:space="preserve"> PAGEREF _Toc109835513 \h </w:instrText>
        </w:r>
        <w:r w:rsidRPr="00375E22">
          <w:rPr>
            <w:webHidden/>
          </w:rPr>
        </w:r>
        <w:r w:rsidRPr="00375E22">
          <w:rPr>
            <w:webHidden/>
          </w:rPr>
          <w:fldChar w:fldCharType="separate"/>
        </w:r>
        <w:r w:rsidR="00374953">
          <w:rPr>
            <w:webHidden/>
          </w:rPr>
          <w:t>1</w:t>
        </w:r>
        <w:r w:rsidRPr="00375E22">
          <w:rPr>
            <w:webHidden/>
          </w:rPr>
          <w:fldChar w:fldCharType="end"/>
        </w:r>
      </w:hyperlink>
    </w:p>
    <w:p w14:paraId="15EF2F54" w14:textId="05C50B39" w:rsidR="004929BE" w:rsidRPr="00375E22" w:rsidRDefault="00000000" w:rsidP="00375E22">
      <w:pPr>
        <w:pStyle w:val="Obsah1"/>
        <w:rPr>
          <w:rFonts w:cs="Calibri"/>
        </w:rPr>
      </w:pPr>
      <w:hyperlink w:anchor="_Toc109835514" w:history="1">
        <w:r w:rsidR="004929BE" w:rsidRPr="00375E22">
          <w:rPr>
            <w:rStyle w:val="Hypertextovodkaz"/>
            <w:rFonts w:ascii="Arial Narrow" w:hAnsi="Arial Narrow" w:cs="Arial Narrow"/>
          </w:rPr>
          <w:t>D.2.</w:t>
        </w:r>
        <w:r w:rsidR="004929BE" w:rsidRPr="00375E22">
          <w:rPr>
            <w:rFonts w:cs="Calibri"/>
          </w:rPr>
          <w:tab/>
        </w:r>
        <w:r w:rsidR="004929BE" w:rsidRPr="00375E22">
          <w:rPr>
            <w:rStyle w:val="Hypertextovodkaz"/>
            <w:rFonts w:ascii="Arial Narrow" w:hAnsi="Arial Narrow" w:cs="Arial Narrow"/>
          </w:rPr>
          <w:t>Použité podklady</w:t>
        </w:r>
        <w:r w:rsidR="004929BE" w:rsidRPr="00375E22">
          <w:rPr>
            <w:rFonts w:cs="Times New Roman"/>
            <w:webHidden/>
          </w:rPr>
          <w:tab/>
        </w:r>
        <w:r w:rsidR="004929BE" w:rsidRPr="00375E22">
          <w:rPr>
            <w:rFonts w:cs="Times New Roman"/>
            <w:webHidden/>
          </w:rPr>
          <w:fldChar w:fldCharType="begin"/>
        </w:r>
        <w:r w:rsidR="004929BE" w:rsidRPr="00375E22">
          <w:rPr>
            <w:rFonts w:cs="Times New Roman"/>
            <w:webHidden/>
          </w:rPr>
          <w:instrText xml:space="preserve"> PAGEREF _Toc109835514 \h </w:instrText>
        </w:r>
        <w:r w:rsidR="004929BE" w:rsidRPr="00375E22">
          <w:rPr>
            <w:rFonts w:cs="Times New Roman"/>
            <w:webHidden/>
          </w:rPr>
        </w:r>
        <w:r w:rsidR="004929BE" w:rsidRPr="00375E22">
          <w:rPr>
            <w:rFonts w:cs="Times New Roman"/>
            <w:webHidden/>
          </w:rPr>
          <w:fldChar w:fldCharType="separate"/>
        </w:r>
        <w:r w:rsidR="00374953">
          <w:rPr>
            <w:rFonts w:cs="Times New Roman"/>
            <w:webHidden/>
          </w:rPr>
          <w:t>1</w:t>
        </w:r>
        <w:r w:rsidR="004929BE" w:rsidRPr="00375E22">
          <w:rPr>
            <w:rFonts w:cs="Times New Roman"/>
            <w:webHidden/>
          </w:rPr>
          <w:fldChar w:fldCharType="end"/>
        </w:r>
      </w:hyperlink>
    </w:p>
    <w:p w14:paraId="13F75401" w14:textId="4C6CE16C" w:rsidR="004929BE" w:rsidRPr="00375E22" w:rsidRDefault="00000000" w:rsidP="00375E22">
      <w:pPr>
        <w:pStyle w:val="Obsah1"/>
        <w:rPr>
          <w:rFonts w:cs="Calibri"/>
        </w:rPr>
      </w:pPr>
      <w:hyperlink w:anchor="_Toc109835515" w:history="1">
        <w:r w:rsidR="004929BE" w:rsidRPr="00375E22">
          <w:rPr>
            <w:rStyle w:val="Hypertextovodkaz"/>
            <w:rFonts w:ascii="Arial Narrow" w:hAnsi="Arial Narrow" w:cs="Arial Narrow"/>
          </w:rPr>
          <w:t>D.3.</w:t>
        </w:r>
        <w:r w:rsidR="004929BE" w:rsidRPr="00375E22">
          <w:rPr>
            <w:rFonts w:cs="Calibri"/>
          </w:rPr>
          <w:tab/>
        </w:r>
        <w:r w:rsidR="004929BE" w:rsidRPr="00375E22">
          <w:rPr>
            <w:rStyle w:val="Hypertextovodkaz"/>
            <w:rFonts w:ascii="Arial Narrow" w:hAnsi="Arial Narrow" w:cs="Arial Narrow"/>
          </w:rPr>
          <w:t>Technické údaje</w:t>
        </w:r>
        <w:r w:rsidR="004929BE" w:rsidRPr="00375E22">
          <w:rPr>
            <w:rFonts w:cs="Times New Roman"/>
            <w:webHidden/>
          </w:rPr>
          <w:tab/>
        </w:r>
        <w:r w:rsidR="004929BE" w:rsidRPr="00375E22">
          <w:rPr>
            <w:rFonts w:cs="Times New Roman"/>
            <w:webHidden/>
          </w:rPr>
          <w:fldChar w:fldCharType="begin"/>
        </w:r>
        <w:r w:rsidR="004929BE" w:rsidRPr="00375E22">
          <w:rPr>
            <w:rFonts w:cs="Times New Roman"/>
            <w:webHidden/>
          </w:rPr>
          <w:instrText xml:space="preserve"> PAGEREF _Toc109835515 \h </w:instrText>
        </w:r>
        <w:r w:rsidR="004929BE" w:rsidRPr="00375E22">
          <w:rPr>
            <w:rFonts w:cs="Times New Roman"/>
            <w:webHidden/>
          </w:rPr>
        </w:r>
        <w:r w:rsidR="004929BE" w:rsidRPr="00375E22">
          <w:rPr>
            <w:rFonts w:cs="Times New Roman"/>
            <w:webHidden/>
          </w:rPr>
          <w:fldChar w:fldCharType="separate"/>
        </w:r>
        <w:r w:rsidR="00374953">
          <w:rPr>
            <w:rFonts w:cs="Times New Roman"/>
            <w:webHidden/>
          </w:rPr>
          <w:t>1</w:t>
        </w:r>
        <w:r w:rsidR="004929BE" w:rsidRPr="00375E22">
          <w:rPr>
            <w:rFonts w:cs="Times New Roman"/>
            <w:webHidden/>
          </w:rPr>
          <w:fldChar w:fldCharType="end"/>
        </w:r>
      </w:hyperlink>
    </w:p>
    <w:p w14:paraId="125E5D78" w14:textId="06691A21" w:rsidR="004929BE" w:rsidRPr="00375E22" w:rsidRDefault="00000000" w:rsidP="00375E22">
      <w:pPr>
        <w:pStyle w:val="Obsah1"/>
        <w:rPr>
          <w:rFonts w:cs="Calibri"/>
        </w:rPr>
      </w:pPr>
      <w:hyperlink w:anchor="_Toc109835516" w:history="1">
        <w:r w:rsidR="004929BE" w:rsidRPr="00375E22">
          <w:rPr>
            <w:rStyle w:val="Hypertextovodkaz"/>
            <w:rFonts w:ascii="Arial Narrow" w:hAnsi="Arial Narrow" w:cs="Arial Narrow"/>
          </w:rPr>
          <w:t>D.4.</w:t>
        </w:r>
        <w:r w:rsidR="004929BE" w:rsidRPr="00375E22">
          <w:rPr>
            <w:rFonts w:cs="Calibri"/>
          </w:rPr>
          <w:tab/>
        </w:r>
        <w:r w:rsidR="004929BE" w:rsidRPr="00375E22">
          <w:rPr>
            <w:rStyle w:val="Hypertextovodkaz"/>
            <w:rFonts w:ascii="Arial Narrow" w:hAnsi="Arial Narrow" w:cs="Arial Narrow"/>
          </w:rPr>
          <w:t>Technické řešení</w:t>
        </w:r>
        <w:r w:rsidR="004929BE" w:rsidRPr="00375E22">
          <w:rPr>
            <w:rFonts w:cs="Times New Roman"/>
            <w:webHidden/>
          </w:rPr>
          <w:tab/>
        </w:r>
        <w:r w:rsidR="004929BE" w:rsidRPr="00375E22">
          <w:rPr>
            <w:rFonts w:cs="Times New Roman"/>
            <w:webHidden/>
          </w:rPr>
          <w:fldChar w:fldCharType="begin"/>
        </w:r>
        <w:r w:rsidR="004929BE" w:rsidRPr="00375E22">
          <w:rPr>
            <w:rFonts w:cs="Times New Roman"/>
            <w:webHidden/>
          </w:rPr>
          <w:instrText xml:space="preserve"> PAGEREF _Toc109835516 \h </w:instrText>
        </w:r>
        <w:r w:rsidR="004929BE" w:rsidRPr="00375E22">
          <w:rPr>
            <w:rFonts w:cs="Times New Roman"/>
            <w:webHidden/>
          </w:rPr>
        </w:r>
        <w:r w:rsidR="004929BE" w:rsidRPr="00375E22">
          <w:rPr>
            <w:rFonts w:cs="Times New Roman"/>
            <w:webHidden/>
          </w:rPr>
          <w:fldChar w:fldCharType="separate"/>
        </w:r>
        <w:r w:rsidR="00374953">
          <w:rPr>
            <w:rFonts w:cs="Times New Roman"/>
            <w:webHidden/>
          </w:rPr>
          <w:t>2</w:t>
        </w:r>
        <w:r w:rsidR="004929BE" w:rsidRPr="00375E22">
          <w:rPr>
            <w:rFonts w:cs="Times New Roman"/>
            <w:webHidden/>
          </w:rPr>
          <w:fldChar w:fldCharType="end"/>
        </w:r>
      </w:hyperlink>
    </w:p>
    <w:p w14:paraId="4934736C" w14:textId="17552F8A" w:rsidR="004929BE" w:rsidRPr="00375E22" w:rsidRDefault="00000000" w:rsidP="00375E22">
      <w:pPr>
        <w:pStyle w:val="Obsah1"/>
        <w:rPr>
          <w:rFonts w:cs="Calibri"/>
        </w:rPr>
      </w:pPr>
      <w:hyperlink w:anchor="_Toc109835517" w:history="1">
        <w:r w:rsidR="004929BE" w:rsidRPr="00375E22">
          <w:rPr>
            <w:rStyle w:val="Hypertextovodkaz"/>
            <w:rFonts w:ascii="Arial Narrow" w:hAnsi="Arial Narrow" w:cs="Arial Narrow"/>
          </w:rPr>
          <w:t>D.5.</w:t>
        </w:r>
        <w:r w:rsidR="004929BE" w:rsidRPr="00375E22">
          <w:rPr>
            <w:rFonts w:cs="Calibri"/>
          </w:rPr>
          <w:tab/>
        </w:r>
        <w:r w:rsidR="004929BE" w:rsidRPr="00375E22">
          <w:rPr>
            <w:rStyle w:val="Hypertextovodkaz"/>
            <w:rFonts w:ascii="Arial Narrow" w:hAnsi="Arial Narrow" w:cs="Arial Narrow"/>
          </w:rPr>
          <w:t>Závěr</w:t>
        </w:r>
        <w:r w:rsidR="004929BE" w:rsidRPr="00375E22">
          <w:rPr>
            <w:rFonts w:cs="Times New Roman"/>
            <w:webHidden/>
          </w:rPr>
          <w:tab/>
        </w:r>
        <w:r w:rsidR="004929BE" w:rsidRPr="00375E22">
          <w:rPr>
            <w:rFonts w:cs="Times New Roman"/>
            <w:webHidden/>
          </w:rPr>
          <w:fldChar w:fldCharType="begin"/>
        </w:r>
        <w:r w:rsidR="004929BE" w:rsidRPr="00375E22">
          <w:rPr>
            <w:rFonts w:cs="Times New Roman"/>
            <w:webHidden/>
          </w:rPr>
          <w:instrText xml:space="preserve"> PAGEREF _Toc109835517 \h </w:instrText>
        </w:r>
        <w:r w:rsidR="004929BE" w:rsidRPr="00375E22">
          <w:rPr>
            <w:rFonts w:cs="Times New Roman"/>
            <w:webHidden/>
          </w:rPr>
        </w:r>
        <w:r w:rsidR="004929BE" w:rsidRPr="00375E22">
          <w:rPr>
            <w:rFonts w:cs="Times New Roman"/>
            <w:webHidden/>
          </w:rPr>
          <w:fldChar w:fldCharType="separate"/>
        </w:r>
        <w:r w:rsidR="00374953">
          <w:rPr>
            <w:rFonts w:cs="Times New Roman"/>
            <w:webHidden/>
          </w:rPr>
          <w:t>5</w:t>
        </w:r>
        <w:r w:rsidR="004929BE" w:rsidRPr="00375E22">
          <w:rPr>
            <w:rFonts w:cs="Times New Roman"/>
            <w:webHidden/>
          </w:rPr>
          <w:fldChar w:fldCharType="end"/>
        </w:r>
      </w:hyperlink>
    </w:p>
    <w:p w14:paraId="7C3CE43A" w14:textId="29C70846" w:rsidR="00375E22" w:rsidRDefault="004929BE" w:rsidP="00375E22">
      <w:pPr>
        <w:pStyle w:val="Obsah1"/>
        <w:rPr>
          <w:sz w:val="24"/>
          <w:szCs w:val="24"/>
        </w:rPr>
      </w:pPr>
      <w:r w:rsidRPr="00375E22">
        <w:rPr>
          <w:rStyle w:val="Hypertextovodkaz"/>
          <w:rFonts w:ascii="Arial Narrow" w:hAnsi="Arial Narrow"/>
          <w:caps/>
          <w:sz w:val="20"/>
          <w:szCs w:val="20"/>
        </w:rPr>
        <w:fldChar w:fldCharType="end"/>
      </w:r>
      <w:bookmarkEnd w:id="0"/>
    </w:p>
    <w:p w14:paraId="4ED3AE00" w14:textId="0FB9B001" w:rsidR="004929BE" w:rsidRDefault="004929BE" w:rsidP="00375E22">
      <w:pPr>
        <w:pStyle w:val="Obsah1"/>
      </w:pPr>
    </w:p>
    <w:p w14:paraId="61A1DCA5" w14:textId="77777777" w:rsidR="00375E22" w:rsidRPr="00375E22" w:rsidRDefault="00375E22" w:rsidP="00375E22"/>
    <w:p w14:paraId="470C77C9" w14:textId="77777777" w:rsidR="004929BE" w:rsidRPr="00375E22" w:rsidRDefault="004929BE">
      <w:pPr>
        <w:numPr>
          <w:ilvl w:val="0"/>
          <w:numId w:val="1"/>
        </w:numPr>
        <w:tabs>
          <w:tab w:val="clear" w:pos="360"/>
          <w:tab w:val="left" w:pos="709"/>
        </w:tabs>
        <w:spacing w:after="120" w:line="276" w:lineRule="auto"/>
        <w:ind w:left="709" w:hanging="709"/>
        <w:jc w:val="both"/>
        <w:outlineLvl w:val="0"/>
        <w:rPr>
          <w:rFonts w:ascii="Arial Narrow" w:hAnsi="Arial Narrow" w:cs="Arial Narrow"/>
          <w:b/>
          <w:bCs/>
          <w:sz w:val="24"/>
          <w:szCs w:val="24"/>
          <w:u w:val="single"/>
        </w:rPr>
      </w:pPr>
      <w:bookmarkStart w:id="1" w:name="_Toc109835513"/>
      <w:r w:rsidRPr="00375E22">
        <w:rPr>
          <w:rFonts w:ascii="Arial Narrow" w:hAnsi="Arial Narrow" w:cs="Arial Narrow"/>
          <w:b/>
          <w:bCs/>
          <w:sz w:val="24"/>
          <w:szCs w:val="24"/>
          <w:u w:val="single"/>
        </w:rPr>
        <w:t>Úvod</w:t>
      </w:r>
      <w:bookmarkEnd w:id="1"/>
    </w:p>
    <w:p w14:paraId="445C3775" w14:textId="4422C5F5" w:rsidR="004929BE"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Tato projektová dokumentace řeší úpravu návrhu veřejného osvětlení podél nově navrhovaného Domu s pečovatelskou službou v Praze – Řepích. Původní projekt (autor ŠUMAVAPLÁN s.r.o) neodpovídal požadavkům správce VO v Praze spol. Technologie hl. m. Prahy a.s. Veřejné osvětlení je navrženo podél nových veřejných komunikacích v ulicích K Šancím a Engelmülleorva, které budou realizovány v rámci výstavby nového DPS.</w:t>
      </w:r>
    </w:p>
    <w:p w14:paraId="05111D81" w14:textId="77777777" w:rsidR="00375E22" w:rsidRPr="00375E22" w:rsidRDefault="00375E22">
      <w:pPr>
        <w:spacing w:after="120" w:line="276" w:lineRule="auto"/>
        <w:jc w:val="both"/>
        <w:rPr>
          <w:rFonts w:ascii="Arial Narrow" w:hAnsi="Arial Narrow" w:cs="Arial Narrow"/>
          <w:sz w:val="24"/>
          <w:szCs w:val="24"/>
        </w:rPr>
      </w:pPr>
    </w:p>
    <w:p w14:paraId="20C84A63" w14:textId="77777777" w:rsidR="004929BE" w:rsidRPr="00375E22" w:rsidRDefault="004929BE">
      <w:pPr>
        <w:numPr>
          <w:ilvl w:val="0"/>
          <w:numId w:val="1"/>
        </w:numPr>
        <w:tabs>
          <w:tab w:val="clear" w:pos="360"/>
          <w:tab w:val="left" w:pos="709"/>
        </w:tabs>
        <w:spacing w:after="120" w:line="276" w:lineRule="auto"/>
        <w:ind w:left="709" w:hanging="709"/>
        <w:jc w:val="both"/>
        <w:outlineLvl w:val="0"/>
        <w:rPr>
          <w:rFonts w:ascii="Arial Narrow" w:hAnsi="Arial Narrow" w:cs="Arial Narrow"/>
          <w:b/>
          <w:bCs/>
          <w:sz w:val="24"/>
          <w:szCs w:val="24"/>
          <w:u w:val="single"/>
        </w:rPr>
      </w:pPr>
      <w:bookmarkStart w:id="2" w:name="_Toc109835514"/>
      <w:r w:rsidRPr="00375E22">
        <w:rPr>
          <w:rFonts w:ascii="Arial Narrow" w:hAnsi="Arial Narrow" w:cs="Arial Narrow"/>
          <w:b/>
          <w:bCs/>
          <w:sz w:val="24"/>
          <w:szCs w:val="24"/>
          <w:u w:val="single"/>
        </w:rPr>
        <w:t>Použité podklady</w:t>
      </w:r>
      <w:bookmarkEnd w:id="2"/>
    </w:p>
    <w:p w14:paraId="3EDA8B5C" w14:textId="69F0BBD9" w:rsidR="004929BE" w:rsidRPr="00375E22" w:rsidRDefault="004929BE">
      <w:pPr>
        <w:spacing w:line="276" w:lineRule="auto"/>
        <w:ind w:left="705" w:hanging="705"/>
        <w:jc w:val="both"/>
        <w:rPr>
          <w:rFonts w:ascii="Arial Narrow" w:hAnsi="Arial Narrow" w:cs="Arial Narrow"/>
          <w:sz w:val="24"/>
          <w:szCs w:val="24"/>
        </w:rPr>
      </w:pPr>
      <w:r w:rsidRPr="00375E22">
        <w:rPr>
          <w:rFonts w:ascii="Arial Narrow" w:hAnsi="Arial Narrow" w:cs="Arial Narrow"/>
          <w:sz w:val="24"/>
          <w:szCs w:val="24"/>
        </w:rPr>
        <w:t>-</w:t>
      </w:r>
      <w:r w:rsidRPr="00375E22">
        <w:rPr>
          <w:rFonts w:ascii="Arial Narrow" w:hAnsi="Arial Narrow" w:cs="Arial Narrow"/>
          <w:sz w:val="24"/>
          <w:szCs w:val="24"/>
        </w:rPr>
        <w:tab/>
        <w:t>Projektová dokumentace změny stavby před dokončením pro stavbu DPS (zpracovatel ŠUMAVAPL</w:t>
      </w:r>
      <w:r w:rsidR="00094F83">
        <w:rPr>
          <w:rFonts w:ascii="Arial Narrow" w:hAnsi="Arial Narrow" w:cs="Arial Narrow"/>
          <w:sz w:val="24"/>
          <w:szCs w:val="24"/>
        </w:rPr>
        <w:t>A</w:t>
      </w:r>
      <w:r w:rsidRPr="00375E22">
        <w:rPr>
          <w:rFonts w:ascii="Arial Narrow" w:hAnsi="Arial Narrow" w:cs="Arial Narrow"/>
          <w:sz w:val="24"/>
          <w:szCs w:val="24"/>
        </w:rPr>
        <w:t>N s.r.o., 04/2020)</w:t>
      </w:r>
    </w:p>
    <w:p w14:paraId="612128A1" w14:textId="77777777" w:rsidR="004929BE" w:rsidRPr="00375E22" w:rsidRDefault="004929BE">
      <w:pPr>
        <w:spacing w:line="276" w:lineRule="auto"/>
        <w:ind w:left="705" w:hanging="705"/>
        <w:jc w:val="both"/>
        <w:rPr>
          <w:rFonts w:ascii="Arial Narrow" w:hAnsi="Arial Narrow" w:cs="Arial Narrow"/>
          <w:sz w:val="24"/>
          <w:szCs w:val="24"/>
        </w:rPr>
      </w:pPr>
      <w:r w:rsidRPr="00375E22">
        <w:rPr>
          <w:rFonts w:ascii="Arial Narrow" w:hAnsi="Arial Narrow" w:cs="Arial Narrow"/>
          <w:sz w:val="24"/>
          <w:szCs w:val="24"/>
        </w:rPr>
        <w:t>-</w:t>
      </w:r>
      <w:r w:rsidRPr="00375E22">
        <w:rPr>
          <w:rFonts w:ascii="Arial Narrow" w:hAnsi="Arial Narrow" w:cs="Arial Narrow"/>
          <w:sz w:val="24"/>
          <w:szCs w:val="24"/>
        </w:rPr>
        <w:tab/>
        <w:t>Vyjádření k předložené dokumentaci a podmínky pro ochranu zařízení ve správě společnosti</w:t>
      </w:r>
    </w:p>
    <w:p w14:paraId="50208B05" w14:textId="77777777" w:rsidR="004929BE" w:rsidRPr="00375E22" w:rsidRDefault="004929BE">
      <w:pPr>
        <w:spacing w:line="276" w:lineRule="auto"/>
        <w:ind w:left="705"/>
        <w:jc w:val="both"/>
        <w:rPr>
          <w:rFonts w:ascii="Arial Narrow" w:hAnsi="Arial Narrow" w:cs="Arial Narrow"/>
          <w:sz w:val="24"/>
          <w:szCs w:val="24"/>
        </w:rPr>
      </w:pPr>
      <w:r w:rsidRPr="00375E22">
        <w:rPr>
          <w:rFonts w:ascii="Arial Narrow" w:hAnsi="Arial Narrow" w:cs="Arial Narrow"/>
          <w:sz w:val="24"/>
          <w:szCs w:val="24"/>
        </w:rPr>
        <w:t>Technologie hlavního města Prahy, a.s. (dále THMP, a.s.)</w:t>
      </w:r>
    </w:p>
    <w:p w14:paraId="0B821330"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w:t>
      </w:r>
      <w:r w:rsidRPr="00375E22">
        <w:rPr>
          <w:rFonts w:ascii="Arial Narrow" w:hAnsi="Arial Narrow" w:cs="Arial Narrow"/>
          <w:sz w:val="24"/>
          <w:szCs w:val="24"/>
        </w:rPr>
        <w:tab/>
        <w:t>Všeobecné podmínky pro ochranu zařízení ve správě společnosti THMP, a.s.</w:t>
      </w:r>
    </w:p>
    <w:p w14:paraId="1826E026"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w:t>
      </w:r>
      <w:r w:rsidRPr="00375E22">
        <w:rPr>
          <w:rFonts w:ascii="Arial Narrow" w:hAnsi="Arial Narrow" w:cs="Arial Narrow"/>
          <w:sz w:val="24"/>
          <w:szCs w:val="24"/>
        </w:rPr>
        <w:tab/>
        <w:t>Technický standard pražského LED svítidla VO</w:t>
      </w:r>
    </w:p>
    <w:p w14:paraId="2671BEC3"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w:t>
      </w:r>
      <w:r w:rsidRPr="00375E22">
        <w:rPr>
          <w:rFonts w:ascii="Arial Narrow" w:hAnsi="Arial Narrow" w:cs="Arial Narrow"/>
          <w:sz w:val="24"/>
          <w:szCs w:val="24"/>
        </w:rPr>
        <w:tab/>
        <w:t>Předpisy a normy ČSN</w:t>
      </w:r>
    </w:p>
    <w:p w14:paraId="74B01814"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w:t>
      </w:r>
      <w:r w:rsidRPr="00375E22">
        <w:rPr>
          <w:rFonts w:ascii="Arial Narrow" w:hAnsi="Arial Narrow" w:cs="Arial Narrow"/>
          <w:sz w:val="24"/>
          <w:szCs w:val="24"/>
        </w:rPr>
        <w:tab/>
        <w:t>Požadavky investora</w:t>
      </w:r>
    </w:p>
    <w:p w14:paraId="22989DEB" w14:textId="77777777" w:rsidR="004929BE" w:rsidRPr="00375E22" w:rsidRDefault="004929BE">
      <w:pPr>
        <w:spacing w:after="120" w:line="276" w:lineRule="auto"/>
        <w:jc w:val="both"/>
        <w:rPr>
          <w:rFonts w:ascii="Arial Narrow" w:hAnsi="Arial Narrow" w:cs="Arial Narrow"/>
          <w:sz w:val="24"/>
          <w:szCs w:val="24"/>
        </w:rPr>
      </w:pPr>
    </w:p>
    <w:p w14:paraId="53EF1484" w14:textId="77777777" w:rsidR="004929BE" w:rsidRPr="00375E22" w:rsidRDefault="004929BE">
      <w:pPr>
        <w:numPr>
          <w:ilvl w:val="0"/>
          <w:numId w:val="1"/>
        </w:numPr>
        <w:tabs>
          <w:tab w:val="clear" w:pos="360"/>
          <w:tab w:val="left" w:pos="709"/>
        </w:tabs>
        <w:spacing w:after="120" w:line="276" w:lineRule="auto"/>
        <w:ind w:left="709" w:hanging="709"/>
        <w:jc w:val="both"/>
        <w:outlineLvl w:val="0"/>
        <w:rPr>
          <w:rFonts w:ascii="Arial Narrow" w:hAnsi="Arial Narrow" w:cs="Arial Narrow"/>
          <w:b/>
          <w:bCs/>
          <w:sz w:val="24"/>
          <w:szCs w:val="24"/>
          <w:u w:val="single"/>
        </w:rPr>
      </w:pPr>
      <w:bookmarkStart w:id="3" w:name="_Toc109835515"/>
      <w:r w:rsidRPr="00375E22">
        <w:rPr>
          <w:rFonts w:ascii="Arial Narrow" w:hAnsi="Arial Narrow" w:cs="Arial Narrow"/>
          <w:b/>
          <w:bCs/>
          <w:sz w:val="24"/>
          <w:szCs w:val="24"/>
          <w:u w:val="single"/>
        </w:rPr>
        <w:t>Technické údaje</w:t>
      </w:r>
      <w:bookmarkEnd w:id="3"/>
    </w:p>
    <w:p w14:paraId="15F2E51F"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w:t>
      </w:r>
      <w:r w:rsidRPr="00375E22">
        <w:rPr>
          <w:rFonts w:ascii="Arial Narrow" w:hAnsi="Arial Narrow" w:cs="Arial Narrow"/>
          <w:sz w:val="24"/>
          <w:szCs w:val="24"/>
        </w:rPr>
        <w:tab/>
        <w:t>Napěťová soustava 3+PEN ( 3+PE),stř.50Hz 400/230V - TN -C</w:t>
      </w:r>
    </w:p>
    <w:p w14:paraId="224C8F96"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w:t>
      </w:r>
      <w:r w:rsidRPr="00375E22">
        <w:rPr>
          <w:rFonts w:ascii="Arial Narrow" w:hAnsi="Arial Narrow" w:cs="Arial Narrow"/>
          <w:sz w:val="24"/>
          <w:szCs w:val="24"/>
        </w:rPr>
        <w:tab/>
        <w:t>Prostor z hlediska úrazu el. proudem – venkovní, nebezpečný, obsluha poučená</w:t>
      </w:r>
    </w:p>
    <w:p w14:paraId="6E2D1F3E" w14:textId="77777777" w:rsidR="004929BE" w:rsidRPr="00375E22" w:rsidRDefault="004929BE">
      <w:pPr>
        <w:spacing w:line="276" w:lineRule="auto"/>
        <w:ind w:left="705" w:hanging="705"/>
        <w:jc w:val="both"/>
        <w:rPr>
          <w:rFonts w:ascii="Arial Narrow" w:hAnsi="Arial Narrow" w:cs="Arial Narrow"/>
          <w:sz w:val="24"/>
          <w:szCs w:val="24"/>
        </w:rPr>
      </w:pPr>
      <w:r w:rsidRPr="00375E22">
        <w:rPr>
          <w:rFonts w:ascii="Arial Narrow" w:hAnsi="Arial Narrow" w:cs="Arial Narrow"/>
          <w:sz w:val="24"/>
          <w:szCs w:val="24"/>
        </w:rPr>
        <w:t>-</w:t>
      </w:r>
      <w:r w:rsidRPr="00375E22">
        <w:rPr>
          <w:rFonts w:ascii="Arial Narrow" w:hAnsi="Arial Narrow" w:cs="Arial Narrow"/>
          <w:sz w:val="24"/>
          <w:szCs w:val="24"/>
        </w:rPr>
        <w:tab/>
        <w:t>Ochrana před nebezpečným dotykem neživých částí - samočinným odpojením od zdroje v síti TN dle ČSN 33 2000-4-41 ed.3</w:t>
      </w:r>
    </w:p>
    <w:p w14:paraId="54147EBD" w14:textId="77777777" w:rsidR="004929BE" w:rsidRPr="00375E22" w:rsidRDefault="004929BE">
      <w:pPr>
        <w:spacing w:line="276" w:lineRule="auto"/>
        <w:ind w:left="705" w:hanging="705"/>
        <w:jc w:val="both"/>
        <w:rPr>
          <w:rFonts w:ascii="Arial Narrow" w:hAnsi="Arial Narrow" w:cs="Arial Narrow"/>
          <w:sz w:val="24"/>
          <w:szCs w:val="24"/>
        </w:rPr>
      </w:pPr>
      <w:r w:rsidRPr="00375E22">
        <w:rPr>
          <w:rFonts w:ascii="Arial Narrow" w:hAnsi="Arial Narrow" w:cs="Arial Narrow"/>
          <w:sz w:val="24"/>
          <w:szCs w:val="24"/>
        </w:rPr>
        <w:t>-</w:t>
      </w:r>
      <w:r w:rsidRPr="00375E22">
        <w:rPr>
          <w:rFonts w:ascii="Arial Narrow" w:hAnsi="Arial Narrow" w:cs="Arial Narrow"/>
          <w:sz w:val="24"/>
          <w:szCs w:val="24"/>
        </w:rPr>
        <w:tab/>
        <w:t>Ochrana proti zkratu a přepětí jističi a pojistkami dle ČSN 33 2000-4-43, ČSN 33 2000-4-473 a ČSN 33 2000-5-523</w:t>
      </w:r>
    </w:p>
    <w:p w14:paraId="314F042F" w14:textId="77777777" w:rsidR="004929BE" w:rsidRPr="00375E22" w:rsidRDefault="004929BE">
      <w:pPr>
        <w:spacing w:line="276" w:lineRule="auto"/>
        <w:ind w:left="705" w:hanging="705"/>
        <w:jc w:val="both"/>
        <w:rPr>
          <w:rFonts w:ascii="Arial Narrow" w:hAnsi="Arial Narrow" w:cs="Arial Narrow"/>
          <w:sz w:val="24"/>
          <w:szCs w:val="24"/>
        </w:rPr>
      </w:pPr>
      <w:r w:rsidRPr="00375E22">
        <w:rPr>
          <w:rFonts w:ascii="Arial Narrow" w:hAnsi="Arial Narrow" w:cs="Arial Narrow"/>
          <w:sz w:val="24"/>
          <w:szCs w:val="24"/>
        </w:rPr>
        <w:t>-</w:t>
      </w:r>
      <w:r w:rsidRPr="00375E22">
        <w:rPr>
          <w:rFonts w:ascii="Arial Narrow" w:hAnsi="Arial Narrow" w:cs="Arial Narrow"/>
          <w:sz w:val="24"/>
          <w:szCs w:val="24"/>
        </w:rPr>
        <w:tab/>
        <w:t>Osvětlení pozemních komunikací - ČSN EN 13 201-2, ČSN EN 13 201-3, ČSN EN 13 201-4</w:t>
      </w:r>
    </w:p>
    <w:p w14:paraId="3F604BA7" w14:textId="77777777" w:rsidR="004929BE" w:rsidRPr="00375E22" w:rsidRDefault="004929BE">
      <w:pPr>
        <w:spacing w:line="276" w:lineRule="auto"/>
        <w:ind w:left="705" w:hanging="705"/>
        <w:jc w:val="both"/>
        <w:rPr>
          <w:rFonts w:ascii="Arial Narrow" w:hAnsi="Arial Narrow" w:cs="Arial Narrow"/>
          <w:sz w:val="24"/>
          <w:szCs w:val="24"/>
        </w:rPr>
      </w:pPr>
      <w:r w:rsidRPr="00375E22">
        <w:rPr>
          <w:rFonts w:ascii="Arial Narrow" w:hAnsi="Arial Narrow" w:cs="Arial Narrow"/>
          <w:sz w:val="24"/>
          <w:szCs w:val="24"/>
        </w:rPr>
        <w:t>-</w:t>
      </w:r>
      <w:r w:rsidRPr="00375E22">
        <w:rPr>
          <w:rFonts w:ascii="Arial Narrow" w:hAnsi="Arial Narrow" w:cs="Arial Narrow"/>
          <w:sz w:val="24"/>
          <w:szCs w:val="24"/>
        </w:rPr>
        <w:tab/>
        <w:t>Prostorová úprava vedení technického vybavení - ČSN 73 6005</w:t>
      </w:r>
    </w:p>
    <w:p w14:paraId="6C431191" w14:textId="77777777" w:rsidR="004929BE" w:rsidRPr="00375E22" w:rsidRDefault="004929BE">
      <w:pPr>
        <w:spacing w:after="120" w:line="276" w:lineRule="auto"/>
        <w:ind w:left="703" w:hanging="703"/>
        <w:jc w:val="both"/>
        <w:rPr>
          <w:rFonts w:ascii="Arial Narrow" w:hAnsi="Arial Narrow" w:cs="Arial Narrow"/>
          <w:sz w:val="24"/>
          <w:szCs w:val="24"/>
        </w:rPr>
      </w:pPr>
      <w:r w:rsidRPr="00375E22">
        <w:rPr>
          <w:rFonts w:ascii="Arial Narrow" w:hAnsi="Arial Narrow" w:cs="Arial Narrow"/>
          <w:sz w:val="24"/>
          <w:szCs w:val="24"/>
        </w:rPr>
        <w:t>-</w:t>
      </w:r>
      <w:r w:rsidRPr="00375E22">
        <w:rPr>
          <w:rFonts w:ascii="Arial Narrow" w:hAnsi="Arial Narrow" w:cs="Arial Narrow"/>
          <w:sz w:val="24"/>
          <w:szCs w:val="24"/>
        </w:rPr>
        <w:tab/>
        <w:t>Instalace provedena stejnými vodiči, jako stávající rozvod, vedenými ve sloupech, ke svítidlům</w:t>
      </w:r>
    </w:p>
    <w:p w14:paraId="6405E7F3" w14:textId="77777777" w:rsidR="004929BE" w:rsidRPr="00375E22" w:rsidRDefault="004929BE">
      <w:pPr>
        <w:spacing w:after="120" w:line="276" w:lineRule="auto"/>
        <w:ind w:left="703" w:hanging="703"/>
        <w:jc w:val="both"/>
        <w:rPr>
          <w:rFonts w:ascii="Arial Narrow" w:hAnsi="Arial Narrow" w:cs="Arial Narrow"/>
          <w:sz w:val="24"/>
          <w:szCs w:val="24"/>
        </w:rPr>
      </w:pPr>
    </w:p>
    <w:p w14:paraId="51A05448" w14:textId="77777777" w:rsidR="004929BE" w:rsidRPr="00375E22" w:rsidRDefault="004929BE">
      <w:pPr>
        <w:numPr>
          <w:ilvl w:val="0"/>
          <w:numId w:val="1"/>
        </w:numPr>
        <w:tabs>
          <w:tab w:val="clear" w:pos="360"/>
          <w:tab w:val="left" w:pos="709"/>
        </w:tabs>
        <w:spacing w:after="120" w:line="276" w:lineRule="auto"/>
        <w:ind w:left="709" w:hanging="709"/>
        <w:jc w:val="both"/>
        <w:outlineLvl w:val="0"/>
        <w:rPr>
          <w:rFonts w:ascii="Arial Narrow" w:hAnsi="Arial Narrow" w:cs="Arial Narrow"/>
          <w:b/>
          <w:bCs/>
          <w:sz w:val="24"/>
          <w:szCs w:val="24"/>
          <w:u w:val="single"/>
        </w:rPr>
      </w:pPr>
      <w:bookmarkStart w:id="4" w:name="_Toc109835516"/>
      <w:r w:rsidRPr="00375E22">
        <w:rPr>
          <w:rFonts w:ascii="Arial Narrow" w:hAnsi="Arial Narrow" w:cs="Arial Narrow"/>
          <w:b/>
          <w:bCs/>
          <w:sz w:val="24"/>
          <w:szCs w:val="24"/>
          <w:u w:val="single"/>
        </w:rPr>
        <w:lastRenderedPageBreak/>
        <w:t>Technické řešení</w:t>
      </w:r>
      <w:bookmarkEnd w:id="4"/>
    </w:p>
    <w:p w14:paraId="0ECE236E" w14:textId="77777777" w:rsidR="004929BE" w:rsidRPr="00375E22" w:rsidRDefault="004929BE">
      <w:pPr>
        <w:spacing w:line="276" w:lineRule="auto"/>
        <w:jc w:val="both"/>
        <w:rPr>
          <w:rFonts w:ascii="Arial Narrow" w:hAnsi="Arial Narrow" w:cs="Arial Narrow"/>
          <w:b/>
          <w:bCs/>
          <w:sz w:val="24"/>
          <w:szCs w:val="24"/>
        </w:rPr>
      </w:pPr>
      <w:r w:rsidRPr="00375E22">
        <w:rPr>
          <w:rFonts w:ascii="Arial Narrow" w:hAnsi="Arial Narrow" w:cs="Arial Narrow"/>
          <w:b/>
          <w:bCs/>
          <w:sz w:val="24"/>
          <w:szCs w:val="24"/>
        </w:rPr>
        <w:t>Rozvaděče RVO</w:t>
      </w:r>
    </w:p>
    <w:p w14:paraId="1531DB33" w14:textId="77777777"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Nový rozvod VO bude napojen na stávající rozvod v ulici K Šancím. Napojovací bod nového rozvodu bude ze stávající lampy č. 614200.</w:t>
      </w:r>
    </w:p>
    <w:p w14:paraId="34B2FBC2" w14:textId="77777777"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Celkový příkon nový (rozšíření):</w:t>
      </w:r>
      <w:r w:rsidRPr="00375E22">
        <w:rPr>
          <w:rFonts w:ascii="Arial Narrow" w:hAnsi="Arial Narrow" w:cs="Arial Narrow"/>
          <w:sz w:val="24"/>
          <w:szCs w:val="24"/>
        </w:rPr>
        <w:tab/>
      </w:r>
      <w:r w:rsidRPr="00375E22">
        <w:rPr>
          <w:rFonts w:ascii="Arial Narrow" w:hAnsi="Arial Narrow" w:cs="Arial Narrow"/>
          <w:sz w:val="24"/>
          <w:szCs w:val="24"/>
        </w:rPr>
        <w:tab/>
        <w:t>cca 262 W (5 x 26W + 4 x 33W)</w:t>
      </w:r>
    </w:p>
    <w:p w14:paraId="1BEA93D5" w14:textId="77777777" w:rsidR="00375E22" w:rsidRDefault="00375E22">
      <w:pPr>
        <w:spacing w:line="276" w:lineRule="auto"/>
        <w:jc w:val="both"/>
        <w:rPr>
          <w:rFonts w:ascii="Arial Narrow" w:hAnsi="Arial Narrow" w:cs="Arial Narrow"/>
          <w:b/>
          <w:bCs/>
          <w:sz w:val="24"/>
          <w:szCs w:val="24"/>
        </w:rPr>
      </w:pPr>
    </w:p>
    <w:p w14:paraId="51711F36" w14:textId="0ADB58CE" w:rsidR="004929BE" w:rsidRPr="00375E22" w:rsidRDefault="004929BE">
      <w:pPr>
        <w:spacing w:line="276" w:lineRule="auto"/>
        <w:jc w:val="both"/>
        <w:rPr>
          <w:rFonts w:ascii="Arial Narrow" w:hAnsi="Arial Narrow" w:cs="Arial Narrow"/>
          <w:b/>
          <w:bCs/>
          <w:sz w:val="24"/>
          <w:szCs w:val="24"/>
        </w:rPr>
      </w:pPr>
      <w:r w:rsidRPr="00375E22">
        <w:rPr>
          <w:rFonts w:ascii="Arial Narrow" w:hAnsi="Arial Narrow" w:cs="Arial Narrow"/>
          <w:b/>
          <w:bCs/>
          <w:sz w:val="24"/>
          <w:szCs w:val="24"/>
        </w:rPr>
        <w:t>Popis trasy</w:t>
      </w:r>
    </w:p>
    <w:p w14:paraId="7BC73D5F" w14:textId="77777777"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Projektová dokumentace řeší nasvícení komunikací, parkovišť a chodníků v upravovaných částech ulic K Šancím a Engelmüllerova, které se budou realizovat v rámci stavby nového domu s pečovatelskou službou.</w:t>
      </w:r>
    </w:p>
    <w:p w14:paraId="258A4ECA" w14:textId="5253F7DB"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Ze stávajícího svítidla SV0 (č.614200) bude napojena nová větev veřejného osvětlení kabelem CYKY 4-J x1</w:t>
      </w:r>
      <w:r w:rsidR="0053203A">
        <w:rPr>
          <w:rFonts w:ascii="Arial Narrow" w:hAnsi="Arial Narrow" w:cs="Arial Narrow"/>
          <w:sz w:val="24"/>
          <w:szCs w:val="24"/>
        </w:rPr>
        <w:t>6</w:t>
      </w:r>
      <w:r w:rsidRPr="00375E22">
        <w:rPr>
          <w:rFonts w:ascii="Arial Narrow" w:hAnsi="Arial Narrow" w:cs="Arial Narrow"/>
          <w:sz w:val="24"/>
          <w:szCs w:val="24"/>
        </w:rPr>
        <w:t xml:space="preserve"> mm2+ FeZn10.. Stávající rozvod v upravované části ulice K Šancím bude zrušen a demontován vč. 3ks stávajících svítidel (č. 614201, 614202, 614203). Na konci větve v ulici Engelmüllerova je navrženo zokruhování větve do svítidla SV00 (není nutno provádět).</w:t>
      </w:r>
    </w:p>
    <w:p w14:paraId="45FD56CD" w14:textId="76EC6E5E"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Rozvodové kabely budou uloženy v zemi a povedou v chodníku a ve volném terénu. Přes příjezdové komunikace k DPS se kabely uloží v chráničkách DN110 v hloubce min 1 m, které se obetonují. Přesah chrániček přes vjezdy bude min. 0,5 m. Chráničky budou před zasypáním geodeticky zaměřeny. V chodníku a ve volném terénu se kabely uloží do výkopu 350 x 800 mm. Kabely budou uloženy v pískovém loži a kryty destičkami (fólií). Výkop bude zasypán a zhutněn po 20 cm nesedavým materiálem.</w:t>
      </w:r>
    </w:p>
    <w:p w14:paraId="22F7D1E3" w14:textId="77777777"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Veřejné osvětlení je navrženo jako jednostranné podél okraje komunikací. Stožáry VO budou umístěny v ulici K Šancím podél okraje obousměrné komunikace v nových zelených ostrůvcích mezi parkovacími místy. V ulici Engelmüllerova budou stožáry umístěny podél nového veřejného chodníku v zatravněné ploše. Stožáry budou umístěny v řadě mezi navrženými stromy. Vzdálenost svítidla od kmene stromu musí být min. 5 m. Hrany stožáru budou osazeny cca 500–750 mm od hrany chodníku či oplocení.</w:t>
      </w:r>
    </w:p>
    <w:p w14:paraId="009BD295" w14:textId="77777777" w:rsidR="00375E22" w:rsidRDefault="00375E22">
      <w:pPr>
        <w:spacing w:line="276" w:lineRule="auto"/>
        <w:jc w:val="both"/>
        <w:rPr>
          <w:rFonts w:ascii="Arial Narrow" w:hAnsi="Arial Narrow" w:cs="Arial Narrow"/>
          <w:b/>
          <w:bCs/>
          <w:sz w:val="24"/>
          <w:szCs w:val="24"/>
        </w:rPr>
      </w:pPr>
    </w:p>
    <w:p w14:paraId="183BBC05" w14:textId="31F434D6" w:rsidR="004929BE" w:rsidRPr="00375E22" w:rsidRDefault="004929BE">
      <w:pPr>
        <w:spacing w:line="276" w:lineRule="auto"/>
        <w:jc w:val="both"/>
        <w:rPr>
          <w:rFonts w:ascii="Arial Narrow" w:hAnsi="Arial Narrow" w:cs="Arial Narrow"/>
          <w:b/>
          <w:bCs/>
          <w:sz w:val="24"/>
          <w:szCs w:val="24"/>
        </w:rPr>
      </w:pPr>
      <w:r w:rsidRPr="00375E22">
        <w:rPr>
          <w:rFonts w:ascii="Arial Narrow" w:hAnsi="Arial Narrow" w:cs="Arial Narrow"/>
          <w:b/>
          <w:bCs/>
          <w:sz w:val="24"/>
          <w:szCs w:val="24"/>
        </w:rPr>
        <w:t>Zatřídění ulic</w:t>
      </w:r>
    </w:p>
    <w:p w14:paraId="46A8DB64" w14:textId="77777777"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Ulice K Šancím je obousměrná místní komunikace III. třídy a šířky 6 m. Směrem k novostavbě budou na komunikaci navazovat kolmá parkovací stání délky 5m s bezpečnostním odstupem od komunikace 2m. Na stání navazuje veřejný chodník šířky 4 m, který kopíruje novostavbu DPS.</w:t>
      </w:r>
    </w:p>
    <w:p w14:paraId="56F5616B" w14:textId="74EA53A0"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 xml:space="preserve">Pro zajištění parkovacích a odstavných stání bude proveden nový povrch Engelmüllerovy ulice, při jejíž východní straně budou zřízena šikmá stání a bude provedena nová komunikace ze zatravňovacích betonových tvarovek. Provoz na nové komunikaci bude jednosměrný. Šířkové uspořádání komunikace bude následující: jízdní pruh 3,5 m (navazuje na stávající komunikaci š. 3,5 m), bezpečnostní odstup 0,5 m, šikmé parkovací stání 4,7 m, převis vozidla na chodník 0,5 m. Na stání navazuje chodník š. 2,25m. </w:t>
      </w:r>
    </w:p>
    <w:p w14:paraId="1EA73AC3" w14:textId="77777777"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lastRenderedPageBreak/>
        <w:t>Dle nové pražské koncepce VO jsou ulice K Šancím a Engelmüllerova zatříděny do třídy P4 (dle ČSN EN 13201 (2016). Třídy P jsou určeny převážně pro chodce a cyklisty pohybujících se po chodnících a cyklostezkách, pro řidiče motorových vozidel pohybujících se nízkou rychlostí na místních komunikacích, pro odstavné a parkovací pruhy a další dopravní prostory, které leží odděleně nebo podél vozovky silnice nebo místní komunikace. Pro třídy P4 platí následující požadavky:</w:t>
      </w:r>
    </w:p>
    <w:p w14:paraId="10860C1B" w14:textId="77777777"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Třída P4</w:t>
      </w:r>
    </w:p>
    <w:p w14:paraId="018B234E"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Průměrná osvětlenost – minimální udržovaná hodnota</w:t>
      </w:r>
      <w:r w:rsidRPr="00375E22">
        <w:rPr>
          <w:rFonts w:ascii="Arial Narrow" w:hAnsi="Arial Narrow" w:cs="Arial Narrow"/>
          <w:sz w:val="24"/>
          <w:szCs w:val="24"/>
        </w:rPr>
        <w:tab/>
      </w:r>
      <w:r w:rsidRPr="00375E22">
        <w:rPr>
          <w:rFonts w:ascii="Arial Narrow" w:hAnsi="Arial Narrow" w:cs="Arial Narrow"/>
          <w:sz w:val="24"/>
          <w:szCs w:val="24"/>
        </w:rPr>
        <w:tab/>
        <w:t>Em = 5 lx</w:t>
      </w:r>
    </w:p>
    <w:p w14:paraId="0CDF8E64" w14:textId="20F6E92C"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Minimální osvětlenost – minimální hodnota</w:t>
      </w:r>
      <w:r w:rsidRPr="00375E22">
        <w:rPr>
          <w:rFonts w:ascii="Arial Narrow" w:hAnsi="Arial Narrow" w:cs="Arial Narrow"/>
          <w:sz w:val="24"/>
          <w:szCs w:val="24"/>
        </w:rPr>
        <w:tab/>
      </w:r>
      <w:r w:rsidRPr="00375E22">
        <w:rPr>
          <w:rFonts w:ascii="Arial Narrow" w:hAnsi="Arial Narrow" w:cs="Arial Narrow"/>
          <w:sz w:val="24"/>
          <w:szCs w:val="24"/>
        </w:rPr>
        <w:tab/>
      </w:r>
      <w:r w:rsidRPr="00375E22">
        <w:rPr>
          <w:rFonts w:ascii="Arial Narrow" w:hAnsi="Arial Narrow" w:cs="Arial Narrow"/>
          <w:sz w:val="24"/>
          <w:szCs w:val="24"/>
        </w:rPr>
        <w:tab/>
        <w:t>Emin = 1 lx</w:t>
      </w:r>
    </w:p>
    <w:p w14:paraId="2B20453D" w14:textId="77777777" w:rsidR="00375E22" w:rsidRDefault="00375E22">
      <w:pPr>
        <w:spacing w:line="276" w:lineRule="auto"/>
        <w:jc w:val="both"/>
        <w:rPr>
          <w:rFonts w:ascii="Arial Narrow" w:hAnsi="Arial Narrow" w:cs="Arial Narrow"/>
          <w:b/>
          <w:bCs/>
          <w:sz w:val="24"/>
          <w:szCs w:val="24"/>
        </w:rPr>
      </w:pPr>
    </w:p>
    <w:p w14:paraId="77664DD1" w14:textId="5C97157D" w:rsidR="004929BE" w:rsidRPr="00375E22" w:rsidRDefault="00000000">
      <w:pPr>
        <w:spacing w:line="276" w:lineRule="auto"/>
        <w:jc w:val="both"/>
        <w:rPr>
          <w:rFonts w:ascii="Arial Narrow" w:hAnsi="Arial Narrow" w:cs="Arial Narrow"/>
          <w:b/>
          <w:bCs/>
          <w:sz w:val="24"/>
          <w:szCs w:val="24"/>
        </w:rPr>
      </w:pPr>
      <w:r>
        <w:rPr>
          <w:noProof/>
        </w:rPr>
        <w:pict w14:anchorId="70D22D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26" type="#_x0000_t75" style="position:absolute;left:0;text-align:left;margin-left:366.3pt;margin-top:10.3pt;width:91.5pt;height:216.35pt;z-index:1;visibility:visible">
            <v:imagedata r:id="rId7" o:title=""/>
            <w10:wrap type="square"/>
          </v:shape>
        </w:pict>
      </w:r>
      <w:r w:rsidR="004929BE" w:rsidRPr="00375E22">
        <w:rPr>
          <w:rFonts w:ascii="Arial Narrow" w:hAnsi="Arial Narrow" w:cs="Arial Narrow"/>
          <w:b/>
          <w:bCs/>
          <w:sz w:val="24"/>
          <w:szCs w:val="24"/>
        </w:rPr>
        <w:t>Osvětlení</w:t>
      </w:r>
    </w:p>
    <w:p w14:paraId="2AC453AC" w14:textId="77777777" w:rsidR="004929BE" w:rsidRPr="00375E22" w:rsidRDefault="00000000">
      <w:pPr>
        <w:spacing w:after="120" w:line="276" w:lineRule="auto"/>
        <w:jc w:val="both"/>
        <w:rPr>
          <w:rFonts w:ascii="Arial Narrow" w:hAnsi="Arial Narrow" w:cs="Arial Narrow"/>
          <w:sz w:val="24"/>
          <w:szCs w:val="24"/>
        </w:rPr>
      </w:pPr>
      <w:r>
        <w:rPr>
          <w:noProof/>
        </w:rPr>
        <w:pict w14:anchorId="4A39D7DC">
          <v:shape id="Obrázek 2" o:spid="_x0000_s1027" type="#_x0000_t75" style="position:absolute;left:0;text-align:left;margin-left:-.35pt;margin-top:98.05pt;width:140.95pt;height:108pt;z-index:2;visibility:visible">
            <v:imagedata r:id="rId8" o:title="" croptop="14278f" cropbottom="3295f"/>
            <w10:wrap type="square"/>
          </v:shape>
        </w:pict>
      </w:r>
      <w:r w:rsidR="004929BE" w:rsidRPr="00375E22">
        <w:rPr>
          <w:rFonts w:ascii="Arial Narrow" w:hAnsi="Arial Narrow" w:cs="Arial Narrow"/>
          <w:sz w:val="24"/>
          <w:szCs w:val="24"/>
        </w:rPr>
        <w:t xml:space="preserve">Pro veřejné osvětlení jsou navržena LED svítidla. V ulic K Šancím je navrženo 5 svítidel (20 LED / 400 mA / 5304 / WW 730 / 26 W), v ulici Engelmüllerova jsou navržena 4 svítidla (20 LED / 500 mA / 5393 backlight / WW 730 / 33 W). Celkový počt navržených svítidel je 9 ks ve vzdálenostech max. 28 m. Rozmístění svítidel bude provedeno dle výkresové části PD. Použitá svítidla musí odpovídat směrnici THMP „Technický standard pražského LED svítidla VO“. </w:t>
      </w:r>
    </w:p>
    <w:p w14:paraId="48CAB3FE" w14:textId="1E3AA612"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Svítidla budou instalována na stožár do výšky 5m bez výložníku. Stožáry budou použity bezpaticové oboustranně žárově zinkované, třístupňové, pr. 13</w:t>
      </w:r>
      <w:r w:rsidR="0053203A">
        <w:rPr>
          <w:rFonts w:ascii="Arial Narrow" w:hAnsi="Arial Narrow" w:cs="Arial Narrow"/>
          <w:sz w:val="24"/>
          <w:szCs w:val="24"/>
        </w:rPr>
        <w:t>3</w:t>
      </w:r>
      <w:r w:rsidRPr="00375E22">
        <w:rPr>
          <w:rFonts w:ascii="Arial Narrow" w:hAnsi="Arial Narrow" w:cs="Arial Narrow"/>
          <w:sz w:val="24"/>
          <w:szCs w:val="24"/>
        </w:rPr>
        <w:t xml:space="preserve">/89/60, výšky 5m. </w:t>
      </w:r>
    </w:p>
    <w:p w14:paraId="65299C40" w14:textId="302BF230"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V rámci stavby bude realizováno 9 ks stožárů a svítidel.</w:t>
      </w:r>
    </w:p>
    <w:p w14:paraId="085C23E9" w14:textId="77777777" w:rsidR="004929BE" w:rsidRPr="00375E22" w:rsidRDefault="004929BE">
      <w:pPr>
        <w:spacing w:after="120" w:line="276" w:lineRule="auto"/>
        <w:jc w:val="both"/>
        <w:rPr>
          <w:rFonts w:ascii="Arial Narrow" w:hAnsi="Arial Narrow" w:cs="Arial Narrow"/>
          <w:b/>
          <w:bCs/>
          <w:sz w:val="24"/>
          <w:szCs w:val="24"/>
        </w:rPr>
      </w:pPr>
      <w:r w:rsidRPr="00375E22">
        <w:rPr>
          <w:rFonts w:ascii="Arial Narrow" w:hAnsi="Arial Narrow" w:cs="Arial Narrow"/>
          <w:b/>
          <w:bCs/>
          <w:sz w:val="24"/>
          <w:szCs w:val="24"/>
        </w:rPr>
        <w:t>Kabeláž</w:t>
      </w:r>
    </w:p>
    <w:p w14:paraId="51DA6142" w14:textId="6BF31A95"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V trase budou založeny jako rozvodové kabely mezi svítidly kabely CYKY 4-J x1</w:t>
      </w:r>
      <w:r w:rsidR="0053203A">
        <w:rPr>
          <w:rFonts w:ascii="Arial Narrow" w:hAnsi="Arial Narrow" w:cs="Arial Narrow"/>
          <w:sz w:val="24"/>
          <w:szCs w:val="24"/>
        </w:rPr>
        <w:t>6</w:t>
      </w:r>
      <w:r w:rsidRPr="00375E22">
        <w:rPr>
          <w:rFonts w:ascii="Arial Narrow" w:hAnsi="Arial Narrow" w:cs="Arial Narrow"/>
          <w:sz w:val="24"/>
          <w:szCs w:val="24"/>
        </w:rPr>
        <w:t xml:space="preserve"> mm2. Rozvodový kabel pro rozšiřovanou větev se povede ze stávajícího svítidla SV0. Kabel povede v chráničce přes komunikaci, v chodníku a zeleném pásu. Napojí se nová svítidla č. SV1 – SV9. Z posledního svítidla rozšiřované větve je navrženo provedení zokruhování stávajících větví připojením stávajícího svítidla SV00 rozvodovým kabelem CYKY 4-J x1</w:t>
      </w:r>
      <w:r w:rsidR="0053203A">
        <w:rPr>
          <w:rFonts w:ascii="Arial Narrow" w:hAnsi="Arial Narrow" w:cs="Arial Narrow"/>
          <w:sz w:val="24"/>
          <w:szCs w:val="24"/>
        </w:rPr>
        <w:t>6</w:t>
      </w:r>
      <w:r w:rsidRPr="00375E22">
        <w:rPr>
          <w:rFonts w:ascii="Arial Narrow" w:hAnsi="Arial Narrow" w:cs="Arial Narrow"/>
          <w:sz w:val="24"/>
          <w:szCs w:val="24"/>
        </w:rPr>
        <w:t xml:space="preserve"> mm2. Kabelové vedení bude uložené v zemi v souladu s ČSN. Rozteč mezi sloupy bude provedeny dle výkresové dokumentace. Napojení ze stožáru č. 614200 provedeno novým kabelem v celém kabelovém poli mezi stožáry bez použití spojek. V místech vjezdů a přejezdu kabely uloženy v betonových chráničkách DN 110 mm s přesahem 1m.</w:t>
      </w:r>
    </w:p>
    <w:p w14:paraId="05C7DD8D" w14:textId="044041E0"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Součástí pokládky kabelů bude i instalace vodiče FeZn o průměru 10 mm2, který bude propojovat jednotlivé stožáry. Kabelové vedení bude ukončeno v jednotlivých stožárech na svorkovnici. Stožáry budou osazeny jednookruhovými měděnými svorkovnicemi, s pojistkami 6A. Ze svorkovnice bude ke svítidlu veden kabel CYKY-J 3x1,5. Uložení dle ČSN 33 2000-5-52 a 736005</w:t>
      </w:r>
    </w:p>
    <w:p w14:paraId="5578CEAF" w14:textId="77777777" w:rsidR="00375E22" w:rsidRDefault="00375E22">
      <w:pPr>
        <w:spacing w:after="120" w:line="276" w:lineRule="auto"/>
        <w:jc w:val="both"/>
        <w:rPr>
          <w:rFonts w:ascii="Arial Narrow" w:hAnsi="Arial Narrow" w:cs="Arial Narrow"/>
          <w:b/>
          <w:bCs/>
          <w:sz w:val="24"/>
          <w:szCs w:val="24"/>
        </w:rPr>
      </w:pPr>
    </w:p>
    <w:p w14:paraId="5F8B214B" w14:textId="3B5C0D58" w:rsidR="004929BE" w:rsidRPr="00375E22" w:rsidRDefault="004929BE">
      <w:pPr>
        <w:spacing w:after="120" w:line="276" w:lineRule="auto"/>
        <w:jc w:val="both"/>
        <w:rPr>
          <w:rFonts w:ascii="Arial Narrow" w:hAnsi="Arial Narrow" w:cs="Arial Narrow"/>
          <w:b/>
          <w:bCs/>
          <w:sz w:val="24"/>
          <w:szCs w:val="24"/>
        </w:rPr>
      </w:pPr>
      <w:r w:rsidRPr="00375E22">
        <w:rPr>
          <w:rFonts w:ascii="Arial Narrow" w:hAnsi="Arial Narrow" w:cs="Arial Narrow"/>
          <w:b/>
          <w:bCs/>
          <w:sz w:val="24"/>
          <w:szCs w:val="24"/>
        </w:rPr>
        <w:lastRenderedPageBreak/>
        <w:t>Souřadnice svítidel</w:t>
      </w:r>
    </w:p>
    <w:tbl>
      <w:tblPr>
        <w:tblW w:w="4340" w:type="dxa"/>
        <w:tblInd w:w="70" w:type="dxa"/>
        <w:tblCellMar>
          <w:left w:w="70" w:type="dxa"/>
          <w:right w:w="70" w:type="dxa"/>
        </w:tblCellMar>
        <w:tblLook w:val="0000" w:firstRow="0" w:lastRow="0" w:firstColumn="0" w:lastColumn="0" w:noHBand="0" w:noVBand="0"/>
      </w:tblPr>
      <w:tblGrid>
        <w:gridCol w:w="820"/>
        <w:gridCol w:w="1760"/>
        <w:gridCol w:w="1760"/>
      </w:tblGrid>
      <w:tr w:rsidR="004929BE" w14:paraId="2FE5D46B" w14:textId="77777777" w:rsidTr="0053203A">
        <w:trPr>
          <w:trHeight w:val="240"/>
        </w:trPr>
        <w:tc>
          <w:tcPr>
            <w:tcW w:w="820" w:type="dxa"/>
            <w:tcBorders>
              <w:top w:val="single" w:sz="8" w:space="0" w:color="auto"/>
              <w:left w:val="single" w:sz="8" w:space="0" w:color="auto"/>
              <w:bottom w:val="single" w:sz="8" w:space="0" w:color="auto"/>
              <w:right w:val="single" w:sz="4" w:space="0" w:color="auto"/>
            </w:tcBorders>
            <w:noWrap/>
            <w:vAlign w:val="bottom"/>
          </w:tcPr>
          <w:p w14:paraId="7789277D" w14:textId="77777777" w:rsidR="004929BE" w:rsidRDefault="004929BE">
            <w:pPr>
              <w:jc w:val="center"/>
              <w:rPr>
                <w:rFonts w:ascii="Tahoma" w:hAnsi="Tahoma" w:cs="Tahoma"/>
                <w:color w:val="000000"/>
                <w:sz w:val="18"/>
                <w:szCs w:val="18"/>
              </w:rPr>
            </w:pPr>
            <w:r>
              <w:rPr>
                <w:rFonts w:ascii="Tahoma" w:hAnsi="Tahoma" w:cs="Tahoma"/>
                <w:color w:val="000000"/>
                <w:sz w:val="18"/>
                <w:szCs w:val="18"/>
              </w:rPr>
              <w:t>č.lampy</w:t>
            </w:r>
          </w:p>
        </w:tc>
        <w:tc>
          <w:tcPr>
            <w:tcW w:w="1760" w:type="dxa"/>
            <w:tcBorders>
              <w:top w:val="single" w:sz="8" w:space="0" w:color="auto"/>
              <w:left w:val="nil"/>
              <w:bottom w:val="single" w:sz="8" w:space="0" w:color="auto"/>
              <w:right w:val="single" w:sz="4" w:space="0" w:color="auto"/>
            </w:tcBorders>
            <w:noWrap/>
            <w:vAlign w:val="bottom"/>
          </w:tcPr>
          <w:p w14:paraId="63BCE02B" w14:textId="77777777" w:rsidR="004929BE" w:rsidRDefault="004929BE">
            <w:pPr>
              <w:jc w:val="center"/>
              <w:rPr>
                <w:rFonts w:ascii="Tahoma" w:hAnsi="Tahoma" w:cs="Tahoma"/>
                <w:color w:val="000000"/>
                <w:sz w:val="18"/>
                <w:szCs w:val="18"/>
              </w:rPr>
            </w:pPr>
            <w:r>
              <w:rPr>
                <w:rFonts w:ascii="Tahoma" w:hAnsi="Tahoma" w:cs="Tahoma"/>
                <w:color w:val="000000"/>
                <w:sz w:val="18"/>
                <w:szCs w:val="18"/>
              </w:rPr>
              <w:t>Souřadnice Y JTSK</w:t>
            </w:r>
          </w:p>
        </w:tc>
        <w:tc>
          <w:tcPr>
            <w:tcW w:w="1760" w:type="dxa"/>
            <w:tcBorders>
              <w:top w:val="single" w:sz="8" w:space="0" w:color="auto"/>
              <w:left w:val="nil"/>
              <w:bottom w:val="single" w:sz="8" w:space="0" w:color="auto"/>
              <w:right w:val="single" w:sz="8" w:space="0" w:color="auto"/>
            </w:tcBorders>
            <w:noWrap/>
            <w:vAlign w:val="bottom"/>
          </w:tcPr>
          <w:p w14:paraId="5FF0B1E7" w14:textId="77777777" w:rsidR="004929BE" w:rsidRDefault="004929BE">
            <w:pPr>
              <w:jc w:val="center"/>
              <w:rPr>
                <w:rFonts w:ascii="Tahoma" w:hAnsi="Tahoma" w:cs="Tahoma"/>
                <w:color w:val="000000"/>
                <w:sz w:val="18"/>
                <w:szCs w:val="18"/>
              </w:rPr>
            </w:pPr>
            <w:r>
              <w:rPr>
                <w:rFonts w:ascii="Tahoma" w:hAnsi="Tahoma" w:cs="Tahoma"/>
                <w:color w:val="000000"/>
                <w:sz w:val="18"/>
                <w:szCs w:val="18"/>
              </w:rPr>
              <w:t>Souřadnice X JTSK</w:t>
            </w:r>
          </w:p>
        </w:tc>
      </w:tr>
      <w:tr w:rsidR="004929BE" w14:paraId="3FA3D333" w14:textId="77777777" w:rsidTr="0053203A">
        <w:trPr>
          <w:trHeight w:val="225"/>
        </w:trPr>
        <w:tc>
          <w:tcPr>
            <w:tcW w:w="820" w:type="dxa"/>
            <w:tcBorders>
              <w:top w:val="nil"/>
              <w:left w:val="single" w:sz="8" w:space="0" w:color="auto"/>
              <w:bottom w:val="single" w:sz="4" w:space="0" w:color="auto"/>
              <w:right w:val="single" w:sz="4" w:space="0" w:color="auto"/>
            </w:tcBorders>
            <w:noWrap/>
            <w:vAlign w:val="bottom"/>
          </w:tcPr>
          <w:p w14:paraId="1F12DD1F" w14:textId="77777777" w:rsidR="004929BE" w:rsidRDefault="004929BE">
            <w:pPr>
              <w:jc w:val="center"/>
              <w:rPr>
                <w:rFonts w:ascii="Tahoma" w:hAnsi="Tahoma" w:cs="Tahoma"/>
                <w:color w:val="000000"/>
                <w:sz w:val="18"/>
                <w:szCs w:val="18"/>
              </w:rPr>
            </w:pPr>
            <w:r>
              <w:rPr>
                <w:rFonts w:ascii="Tahoma" w:hAnsi="Tahoma" w:cs="Tahoma"/>
                <w:color w:val="000000"/>
                <w:sz w:val="18"/>
                <w:szCs w:val="18"/>
              </w:rPr>
              <w:t>SV1</w:t>
            </w:r>
          </w:p>
        </w:tc>
        <w:tc>
          <w:tcPr>
            <w:tcW w:w="1760" w:type="dxa"/>
            <w:tcBorders>
              <w:top w:val="nil"/>
              <w:left w:val="nil"/>
              <w:bottom w:val="single" w:sz="4" w:space="0" w:color="auto"/>
              <w:right w:val="single" w:sz="4" w:space="0" w:color="auto"/>
            </w:tcBorders>
            <w:noWrap/>
            <w:vAlign w:val="bottom"/>
          </w:tcPr>
          <w:p w14:paraId="31B9B658" w14:textId="77777777" w:rsidR="004929BE" w:rsidRDefault="004929BE">
            <w:pPr>
              <w:jc w:val="right"/>
              <w:rPr>
                <w:rFonts w:ascii="Tahoma" w:hAnsi="Tahoma" w:cs="Tahoma"/>
                <w:color w:val="000000"/>
                <w:sz w:val="18"/>
                <w:szCs w:val="18"/>
              </w:rPr>
            </w:pPr>
            <w:r>
              <w:rPr>
                <w:rFonts w:ascii="Tahoma" w:hAnsi="Tahoma" w:cs="Tahoma"/>
                <w:color w:val="000000"/>
                <w:sz w:val="18"/>
                <w:szCs w:val="18"/>
              </w:rPr>
              <w:t>-1043777.44</w:t>
            </w:r>
          </w:p>
        </w:tc>
        <w:tc>
          <w:tcPr>
            <w:tcW w:w="1760" w:type="dxa"/>
            <w:tcBorders>
              <w:top w:val="nil"/>
              <w:left w:val="nil"/>
              <w:bottom w:val="single" w:sz="4" w:space="0" w:color="auto"/>
              <w:right w:val="single" w:sz="8" w:space="0" w:color="auto"/>
            </w:tcBorders>
            <w:noWrap/>
            <w:vAlign w:val="bottom"/>
          </w:tcPr>
          <w:p w14:paraId="3C951DC5" w14:textId="77777777" w:rsidR="004929BE" w:rsidRDefault="004929BE">
            <w:pPr>
              <w:jc w:val="right"/>
              <w:rPr>
                <w:rFonts w:ascii="Tahoma" w:hAnsi="Tahoma" w:cs="Tahoma"/>
                <w:color w:val="000000"/>
                <w:sz w:val="18"/>
                <w:szCs w:val="18"/>
              </w:rPr>
            </w:pPr>
            <w:r>
              <w:rPr>
                <w:rFonts w:ascii="Tahoma" w:hAnsi="Tahoma" w:cs="Tahoma"/>
                <w:color w:val="000000"/>
                <w:sz w:val="18"/>
                <w:szCs w:val="18"/>
              </w:rPr>
              <w:t>-752133.88</w:t>
            </w:r>
          </w:p>
        </w:tc>
      </w:tr>
      <w:tr w:rsidR="004929BE" w14:paraId="34D8CE2E" w14:textId="77777777" w:rsidTr="0053203A">
        <w:trPr>
          <w:trHeight w:val="225"/>
        </w:trPr>
        <w:tc>
          <w:tcPr>
            <w:tcW w:w="820" w:type="dxa"/>
            <w:tcBorders>
              <w:top w:val="nil"/>
              <w:left w:val="single" w:sz="8" w:space="0" w:color="auto"/>
              <w:bottom w:val="single" w:sz="4" w:space="0" w:color="auto"/>
              <w:right w:val="single" w:sz="4" w:space="0" w:color="auto"/>
            </w:tcBorders>
            <w:noWrap/>
            <w:vAlign w:val="bottom"/>
          </w:tcPr>
          <w:p w14:paraId="0AEA340E" w14:textId="77777777" w:rsidR="004929BE" w:rsidRDefault="004929BE">
            <w:pPr>
              <w:jc w:val="center"/>
              <w:rPr>
                <w:rFonts w:ascii="Tahoma" w:hAnsi="Tahoma" w:cs="Tahoma"/>
                <w:color w:val="000000"/>
                <w:sz w:val="18"/>
                <w:szCs w:val="18"/>
              </w:rPr>
            </w:pPr>
            <w:r>
              <w:rPr>
                <w:rFonts w:ascii="Tahoma" w:hAnsi="Tahoma" w:cs="Tahoma"/>
                <w:color w:val="000000"/>
                <w:sz w:val="18"/>
                <w:szCs w:val="18"/>
              </w:rPr>
              <w:t>SV2</w:t>
            </w:r>
          </w:p>
        </w:tc>
        <w:tc>
          <w:tcPr>
            <w:tcW w:w="1760" w:type="dxa"/>
            <w:tcBorders>
              <w:top w:val="nil"/>
              <w:left w:val="nil"/>
              <w:bottom w:val="single" w:sz="4" w:space="0" w:color="auto"/>
              <w:right w:val="single" w:sz="4" w:space="0" w:color="auto"/>
            </w:tcBorders>
            <w:noWrap/>
            <w:vAlign w:val="bottom"/>
          </w:tcPr>
          <w:p w14:paraId="55DBBF79" w14:textId="77777777" w:rsidR="004929BE" w:rsidRDefault="004929BE">
            <w:pPr>
              <w:jc w:val="right"/>
              <w:rPr>
                <w:rFonts w:ascii="Tahoma" w:hAnsi="Tahoma" w:cs="Tahoma"/>
                <w:color w:val="000000"/>
                <w:sz w:val="18"/>
                <w:szCs w:val="18"/>
              </w:rPr>
            </w:pPr>
            <w:r>
              <w:rPr>
                <w:rFonts w:ascii="Tahoma" w:hAnsi="Tahoma" w:cs="Tahoma"/>
                <w:color w:val="000000"/>
                <w:sz w:val="18"/>
                <w:szCs w:val="18"/>
              </w:rPr>
              <w:t>-1043776.26</w:t>
            </w:r>
          </w:p>
        </w:tc>
        <w:tc>
          <w:tcPr>
            <w:tcW w:w="1760" w:type="dxa"/>
            <w:tcBorders>
              <w:top w:val="nil"/>
              <w:left w:val="nil"/>
              <w:bottom w:val="single" w:sz="4" w:space="0" w:color="auto"/>
              <w:right w:val="single" w:sz="8" w:space="0" w:color="auto"/>
            </w:tcBorders>
            <w:noWrap/>
            <w:vAlign w:val="bottom"/>
          </w:tcPr>
          <w:p w14:paraId="6A4D5C3F" w14:textId="77777777" w:rsidR="004929BE" w:rsidRDefault="004929BE">
            <w:pPr>
              <w:jc w:val="right"/>
              <w:rPr>
                <w:rFonts w:ascii="Tahoma" w:hAnsi="Tahoma" w:cs="Tahoma"/>
                <w:color w:val="000000"/>
                <w:sz w:val="18"/>
                <w:szCs w:val="18"/>
              </w:rPr>
            </w:pPr>
            <w:r>
              <w:rPr>
                <w:rFonts w:ascii="Tahoma" w:hAnsi="Tahoma" w:cs="Tahoma"/>
                <w:color w:val="000000"/>
                <w:sz w:val="18"/>
                <w:szCs w:val="18"/>
              </w:rPr>
              <w:t>-752161.28</w:t>
            </w:r>
          </w:p>
        </w:tc>
      </w:tr>
      <w:tr w:rsidR="004929BE" w14:paraId="35B364CA" w14:textId="77777777" w:rsidTr="0053203A">
        <w:trPr>
          <w:trHeight w:val="225"/>
        </w:trPr>
        <w:tc>
          <w:tcPr>
            <w:tcW w:w="820" w:type="dxa"/>
            <w:tcBorders>
              <w:top w:val="nil"/>
              <w:left w:val="single" w:sz="8" w:space="0" w:color="auto"/>
              <w:bottom w:val="single" w:sz="4" w:space="0" w:color="auto"/>
              <w:right w:val="single" w:sz="4" w:space="0" w:color="auto"/>
            </w:tcBorders>
            <w:noWrap/>
            <w:vAlign w:val="bottom"/>
          </w:tcPr>
          <w:p w14:paraId="7C6A86C3" w14:textId="77777777" w:rsidR="004929BE" w:rsidRDefault="004929BE">
            <w:pPr>
              <w:jc w:val="center"/>
              <w:rPr>
                <w:rFonts w:ascii="Tahoma" w:hAnsi="Tahoma" w:cs="Tahoma"/>
                <w:color w:val="000000"/>
                <w:sz w:val="18"/>
                <w:szCs w:val="18"/>
              </w:rPr>
            </w:pPr>
            <w:r>
              <w:rPr>
                <w:rFonts w:ascii="Tahoma" w:hAnsi="Tahoma" w:cs="Tahoma"/>
                <w:color w:val="000000"/>
                <w:sz w:val="18"/>
                <w:szCs w:val="18"/>
              </w:rPr>
              <w:t>SV3</w:t>
            </w:r>
          </w:p>
        </w:tc>
        <w:tc>
          <w:tcPr>
            <w:tcW w:w="1760" w:type="dxa"/>
            <w:tcBorders>
              <w:top w:val="nil"/>
              <w:left w:val="nil"/>
              <w:bottom w:val="single" w:sz="4" w:space="0" w:color="auto"/>
              <w:right w:val="single" w:sz="4" w:space="0" w:color="auto"/>
            </w:tcBorders>
            <w:noWrap/>
            <w:vAlign w:val="bottom"/>
          </w:tcPr>
          <w:p w14:paraId="1DC0CEB1" w14:textId="77777777" w:rsidR="004929BE" w:rsidRDefault="004929BE">
            <w:pPr>
              <w:jc w:val="right"/>
              <w:rPr>
                <w:rFonts w:ascii="Tahoma" w:hAnsi="Tahoma" w:cs="Tahoma"/>
                <w:color w:val="000000"/>
                <w:sz w:val="18"/>
                <w:szCs w:val="18"/>
              </w:rPr>
            </w:pPr>
            <w:r>
              <w:rPr>
                <w:rFonts w:ascii="Tahoma" w:hAnsi="Tahoma" w:cs="Tahoma"/>
                <w:color w:val="000000"/>
                <w:sz w:val="18"/>
                <w:szCs w:val="18"/>
              </w:rPr>
              <w:t>-1043775.20</w:t>
            </w:r>
          </w:p>
        </w:tc>
        <w:tc>
          <w:tcPr>
            <w:tcW w:w="1760" w:type="dxa"/>
            <w:tcBorders>
              <w:top w:val="nil"/>
              <w:left w:val="nil"/>
              <w:bottom w:val="single" w:sz="4" w:space="0" w:color="auto"/>
              <w:right w:val="single" w:sz="8" w:space="0" w:color="auto"/>
            </w:tcBorders>
            <w:noWrap/>
            <w:vAlign w:val="bottom"/>
          </w:tcPr>
          <w:p w14:paraId="08C62CDA" w14:textId="77777777" w:rsidR="004929BE" w:rsidRDefault="004929BE">
            <w:pPr>
              <w:jc w:val="right"/>
              <w:rPr>
                <w:rFonts w:ascii="Tahoma" w:hAnsi="Tahoma" w:cs="Tahoma"/>
                <w:color w:val="000000"/>
                <w:sz w:val="18"/>
                <w:szCs w:val="18"/>
              </w:rPr>
            </w:pPr>
            <w:r>
              <w:rPr>
                <w:rFonts w:ascii="Tahoma" w:hAnsi="Tahoma" w:cs="Tahoma"/>
                <w:color w:val="000000"/>
                <w:sz w:val="18"/>
                <w:szCs w:val="18"/>
              </w:rPr>
              <w:t>-752185.76</w:t>
            </w:r>
          </w:p>
        </w:tc>
      </w:tr>
      <w:tr w:rsidR="004929BE" w14:paraId="6B8E1BEF" w14:textId="77777777" w:rsidTr="0053203A">
        <w:trPr>
          <w:trHeight w:val="225"/>
        </w:trPr>
        <w:tc>
          <w:tcPr>
            <w:tcW w:w="820" w:type="dxa"/>
            <w:tcBorders>
              <w:top w:val="nil"/>
              <w:left w:val="single" w:sz="8" w:space="0" w:color="auto"/>
              <w:bottom w:val="single" w:sz="4" w:space="0" w:color="auto"/>
              <w:right w:val="single" w:sz="4" w:space="0" w:color="auto"/>
            </w:tcBorders>
            <w:noWrap/>
            <w:vAlign w:val="bottom"/>
          </w:tcPr>
          <w:p w14:paraId="3E2E58B3" w14:textId="77777777" w:rsidR="004929BE" w:rsidRDefault="004929BE">
            <w:pPr>
              <w:jc w:val="center"/>
              <w:rPr>
                <w:rFonts w:ascii="Tahoma" w:hAnsi="Tahoma" w:cs="Tahoma"/>
                <w:color w:val="000000"/>
                <w:sz w:val="18"/>
                <w:szCs w:val="18"/>
              </w:rPr>
            </w:pPr>
            <w:r>
              <w:rPr>
                <w:rFonts w:ascii="Tahoma" w:hAnsi="Tahoma" w:cs="Tahoma"/>
                <w:color w:val="000000"/>
                <w:sz w:val="18"/>
                <w:szCs w:val="18"/>
              </w:rPr>
              <w:t>SV4</w:t>
            </w:r>
          </w:p>
        </w:tc>
        <w:tc>
          <w:tcPr>
            <w:tcW w:w="1760" w:type="dxa"/>
            <w:tcBorders>
              <w:top w:val="nil"/>
              <w:left w:val="nil"/>
              <w:bottom w:val="single" w:sz="4" w:space="0" w:color="auto"/>
              <w:right w:val="single" w:sz="4" w:space="0" w:color="auto"/>
            </w:tcBorders>
            <w:noWrap/>
            <w:vAlign w:val="bottom"/>
          </w:tcPr>
          <w:p w14:paraId="130D912A" w14:textId="77777777" w:rsidR="004929BE" w:rsidRDefault="004929BE">
            <w:pPr>
              <w:jc w:val="right"/>
              <w:rPr>
                <w:rFonts w:ascii="Tahoma" w:hAnsi="Tahoma" w:cs="Tahoma"/>
                <w:color w:val="000000"/>
                <w:sz w:val="18"/>
                <w:szCs w:val="18"/>
              </w:rPr>
            </w:pPr>
            <w:r>
              <w:rPr>
                <w:rFonts w:ascii="Tahoma" w:hAnsi="Tahoma" w:cs="Tahoma"/>
                <w:color w:val="000000"/>
                <w:sz w:val="18"/>
                <w:szCs w:val="18"/>
              </w:rPr>
              <w:t>-1043773.99</w:t>
            </w:r>
          </w:p>
        </w:tc>
        <w:tc>
          <w:tcPr>
            <w:tcW w:w="1760" w:type="dxa"/>
            <w:tcBorders>
              <w:top w:val="nil"/>
              <w:left w:val="nil"/>
              <w:bottom w:val="single" w:sz="4" w:space="0" w:color="auto"/>
              <w:right w:val="single" w:sz="8" w:space="0" w:color="auto"/>
            </w:tcBorders>
            <w:noWrap/>
            <w:vAlign w:val="bottom"/>
          </w:tcPr>
          <w:p w14:paraId="0A86AC56" w14:textId="77777777" w:rsidR="004929BE" w:rsidRDefault="004929BE">
            <w:pPr>
              <w:jc w:val="right"/>
              <w:rPr>
                <w:rFonts w:ascii="Tahoma" w:hAnsi="Tahoma" w:cs="Tahoma"/>
                <w:color w:val="000000"/>
                <w:sz w:val="18"/>
                <w:szCs w:val="18"/>
              </w:rPr>
            </w:pPr>
            <w:r>
              <w:rPr>
                <w:rFonts w:ascii="Tahoma" w:hAnsi="Tahoma" w:cs="Tahoma"/>
                <w:color w:val="000000"/>
                <w:sz w:val="18"/>
                <w:szCs w:val="18"/>
              </w:rPr>
              <w:t>-752213.69</w:t>
            </w:r>
          </w:p>
        </w:tc>
      </w:tr>
      <w:tr w:rsidR="004929BE" w14:paraId="29678332" w14:textId="77777777" w:rsidTr="0053203A">
        <w:trPr>
          <w:trHeight w:val="225"/>
        </w:trPr>
        <w:tc>
          <w:tcPr>
            <w:tcW w:w="820" w:type="dxa"/>
            <w:tcBorders>
              <w:top w:val="nil"/>
              <w:left w:val="single" w:sz="8" w:space="0" w:color="auto"/>
              <w:bottom w:val="single" w:sz="4" w:space="0" w:color="auto"/>
              <w:right w:val="single" w:sz="4" w:space="0" w:color="auto"/>
            </w:tcBorders>
            <w:noWrap/>
            <w:vAlign w:val="bottom"/>
          </w:tcPr>
          <w:p w14:paraId="45D27E9C" w14:textId="77777777" w:rsidR="004929BE" w:rsidRDefault="004929BE">
            <w:pPr>
              <w:jc w:val="center"/>
              <w:rPr>
                <w:rFonts w:ascii="Tahoma" w:hAnsi="Tahoma" w:cs="Tahoma"/>
                <w:color w:val="000000"/>
                <w:sz w:val="18"/>
                <w:szCs w:val="18"/>
              </w:rPr>
            </w:pPr>
            <w:r>
              <w:rPr>
                <w:rFonts w:ascii="Tahoma" w:hAnsi="Tahoma" w:cs="Tahoma"/>
                <w:color w:val="000000"/>
                <w:sz w:val="18"/>
                <w:szCs w:val="18"/>
              </w:rPr>
              <w:t>SV5</w:t>
            </w:r>
          </w:p>
        </w:tc>
        <w:tc>
          <w:tcPr>
            <w:tcW w:w="1760" w:type="dxa"/>
            <w:tcBorders>
              <w:top w:val="nil"/>
              <w:left w:val="nil"/>
              <w:bottom w:val="single" w:sz="4" w:space="0" w:color="auto"/>
              <w:right w:val="single" w:sz="4" w:space="0" w:color="auto"/>
            </w:tcBorders>
            <w:noWrap/>
            <w:vAlign w:val="bottom"/>
          </w:tcPr>
          <w:p w14:paraId="374FF7F8" w14:textId="77777777" w:rsidR="004929BE" w:rsidRDefault="004929BE">
            <w:pPr>
              <w:jc w:val="right"/>
              <w:rPr>
                <w:rFonts w:ascii="Tahoma" w:hAnsi="Tahoma" w:cs="Tahoma"/>
                <w:color w:val="000000"/>
                <w:sz w:val="18"/>
                <w:szCs w:val="18"/>
              </w:rPr>
            </w:pPr>
            <w:r>
              <w:rPr>
                <w:rFonts w:ascii="Tahoma" w:hAnsi="Tahoma" w:cs="Tahoma"/>
                <w:color w:val="000000"/>
                <w:sz w:val="18"/>
                <w:szCs w:val="18"/>
              </w:rPr>
              <w:t>-1043772.94</w:t>
            </w:r>
          </w:p>
        </w:tc>
        <w:tc>
          <w:tcPr>
            <w:tcW w:w="1760" w:type="dxa"/>
            <w:tcBorders>
              <w:top w:val="nil"/>
              <w:left w:val="nil"/>
              <w:bottom w:val="single" w:sz="4" w:space="0" w:color="auto"/>
              <w:right w:val="single" w:sz="8" w:space="0" w:color="auto"/>
            </w:tcBorders>
            <w:noWrap/>
            <w:vAlign w:val="bottom"/>
          </w:tcPr>
          <w:p w14:paraId="11E8C202" w14:textId="77777777" w:rsidR="004929BE" w:rsidRDefault="004929BE">
            <w:pPr>
              <w:jc w:val="right"/>
              <w:rPr>
                <w:rFonts w:ascii="Tahoma" w:hAnsi="Tahoma" w:cs="Tahoma"/>
                <w:color w:val="000000"/>
                <w:sz w:val="18"/>
                <w:szCs w:val="18"/>
              </w:rPr>
            </w:pPr>
            <w:r>
              <w:rPr>
                <w:rFonts w:ascii="Tahoma" w:hAnsi="Tahoma" w:cs="Tahoma"/>
                <w:color w:val="000000"/>
                <w:sz w:val="18"/>
                <w:szCs w:val="18"/>
              </w:rPr>
              <w:t>-752237.84</w:t>
            </w:r>
          </w:p>
        </w:tc>
      </w:tr>
      <w:tr w:rsidR="004929BE" w14:paraId="6BDF0A6E" w14:textId="77777777" w:rsidTr="0053203A">
        <w:trPr>
          <w:trHeight w:val="225"/>
        </w:trPr>
        <w:tc>
          <w:tcPr>
            <w:tcW w:w="820" w:type="dxa"/>
            <w:tcBorders>
              <w:top w:val="nil"/>
              <w:left w:val="single" w:sz="8" w:space="0" w:color="auto"/>
              <w:bottom w:val="single" w:sz="4" w:space="0" w:color="auto"/>
              <w:right w:val="single" w:sz="4" w:space="0" w:color="auto"/>
            </w:tcBorders>
            <w:noWrap/>
            <w:vAlign w:val="bottom"/>
          </w:tcPr>
          <w:p w14:paraId="0320DF0C" w14:textId="77777777" w:rsidR="004929BE" w:rsidRDefault="004929BE">
            <w:pPr>
              <w:jc w:val="center"/>
              <w:rPr>
                <w:rFonts w:ascii="Tahoma" w:hAnsi="Tahoma" w:cs="Tahoma"/>
                <w:color w:val="000000"/>
                <w:sz w:val="18"/>
                <w:szCs w:val="18"/>
              </w:rPr>
            </w:pPr>
            <w:r>
              <w:rPr>
                <w:rFonts w:ascii="Tahoma" w:hAnsi="Tahoma" w:cs="Tahoma"/>
                <w:color w:val="000000"/>
                <w:sz w:val="18"/>
                <w:szCs w:val="18"/>
              </w:rPr>
              <w:t>SV6</w:t>
            </w:r>
          </w:p>
        </w:tc>
        <w:tc>
          <w:tcPr>
            <w:tcW w:w="1760" w:type="dxa"/>
            <w:tcBorders>
              <w:top w:val="nil"/>
              <w:left w:val="nil"/>
              <w:bottom w:val="single" w:sz="4" w:space="0" w:color="auto"/>
              <w:right w:val="single" w:sz="4" w:space="0" w:color="auto"/>
            </w:tcBorders>
            <w:noWrap/>
            <w:vAlign w:val="bottom"/>
          </w:tcPr>
          <w:p w14:paraId="1F198695" w14:textId="77777777" w:rsidR="004929BE" w:rsidRDefault="004929BE">
            <w:pPr>
              <w:jc w:val="right"/>
              <w:rPr>
                <w:rFonts w:ascii="Tahoma" w:hAnsi="Tahoma" w:cs="Tahoma"/>
                <w:color w:val="000000"/>
                <w:sz w:val="18"/>
                <w:szCs w:val="18"/>
              </w:rPr>
            </w:pPr>
            <w:r>
              <w:rPr>
                <w:rFonts w:ascii="Tahoma" w:hAnsi="Tahoma" w:cs="Tahoma"/>
                <w:color w:val="000000"/>
                <w:sz w:val="18"/>
                <w:szCs w:val="18"/>
              </w:rPr>
              <w:t>-1043791.49</w:t>
            </w:r>
          </w:p>
        </w:tc>
        <w:tc>
          <w:tcPr>
            <w:tcW w:w="1760" w:type="dxa"/>
            <w:tcBorders>
              <w:top w:val="nil"/>
              <w:left w:val="nil"/>
              <w:bottom w:val="single" w:sz="4" w:space="0" w:color="auto"/>
              <w:right w:val="single" w:sz="8" w:space="0" w:color="auto"/>
            </w:tcBorders>
            <w:noWrap/>
            <w:vAlign w:val="bottom"/>
          </w:tcPr>
          <w:p w14:paraId="314CD6F4" w14:textId="77777777" w:rsidR="004929BE" w:rsidRDefault="004929BE">
            <w:pPr>
              <w:jc w:val="right"/>
              <w:rPr>
                <w:rFonts w:ascii="Tahoma" w:hAnsi="Tahoma" w:cs="Tahoma"/>
                <w:color w:val="000000"/>
                <w:sz w:val="18"/>
                <w:szCs w:val="18"/>
              </w:rPr>
            </w:pPr>
            <w:r>
              <w:rPr>
                <w:rFonts w:ascii="Tahoma" w:hAnsi="Tahoma" w:cs="Tahoma"/>
                <w:color w:val="000000"/>
                <w:sz w:val="18"/>
                <w:szCs w:val="18"/>
              </w:rPr>
              <w:t>-752231.16</w:t>
            </w:r>
          </w:p>
        </w:tc>
      </w:tr>
      <w:tr w:rsidR="004929BE" w14:paraId="5C02E70A" w14:textId="77777777" w:rsidTr="0053203A">
        <w:trPr>
          <w:trHeight w:val="225"/>
        </w:trPr>
        <w:tc>
          <w:tcPr>
            <w:tcW w:w="820" w:type="dxa"/>
            <w:tcBorders>
              <w:top w:val="nil"/>
              <w:left w:val="single" w:sz="8" w:space="0" w:color="auto"/>
              <w:bottom w:val="single" w:sz="4" w:space="0" w:color="auto"/>
              <w:right w:val="single" w:sz="4" w:space="0" w:color="auto"/>
            </w:tcBorders>
            <w:noWrap/>
            <w:vAlign w:val="bottom"/>
          </w:tcPr>
          <w:p w14:paraId="66A01C37" w14:textId="77777777" w:rsidR="004929BE" w:rsidRDefault="004929BE">
            <w:pPr>
              <w:jc w:val="center"/>
              <w:rPr>
                <w:rFonts w:ascii="Tahoma" w:hAnsi="Tahoma" w:cs="Tahoma"/>
                <w:color w:val="000000"/>
                <w:sz w:val="18"/>
                <w:szCs w:val="18"/>
              </w:rPr>
            </w:pPr>
            <w:r>
              <w:rPr>
                <w:rFonts w:ascii="Tahoma" w:hAnsi="Tahoma" w:cs="Tahoma"/>
                <w:color w:val="000000"/>
                <w:sz w:val="18"/>
                <w:szCs w:val="18"/>
              </w:rPr>
              <w:t>SV7</w:t>
            </w:r>
          </w:p>
        </w:tc>
        <w:tc>
          <w:tcPr>
            <w:tcW w:w="1760" w:type="dxa"/>
            <w:tcBorders>
              <w:top w:val="nil"/>
              <w:left w:val="nil"/>
              <w:bottom w:val="single" w:sz="4" w:space="0" w:color="auto"/>
              <w:right w:val="single" w:sz="4" w:space="0" w:color="auto"/>
            </w:tcBorders>
            <w:noWrap/>
            <w:vAlign w:val="bottom"/>
          </w:tcPr>
          <w:p w14:paraId="2767465E" w14:textId="77777777" w:rsidR="004929BE" w:rsidRDefault="004929BE">
            <w:pPr>
              <w:jc w:val="right"/>
              <w:rPr>
                <w:rFonts w:ascii="Tahoma" w:hAnsi="Tahoma" w:cs="Tahoma"/>
                <w:color w:val="000000"/>
                <w:sz w:val="18"/>
                <w:szCs w:val="18"/>
              </w:rPr>
            </w:pPr>
            <w:r>
              <w:rPr>
                <w:rFonts w:ascii="Tahoma" w:hAnsi="Tahoma" w:cs="Tahoma"/>
                <w:color w:val="000000"/>
                <w:sz w:val="18"/>
                <w:szCs w:val="18"/>
              </w:rPr>
              <w:t>-1043817.45</w:t>
            </w:r>
          </w:p>
        </w:tc>
        <w:tc>
          <w:tcPr>
            <w:tcW w:w="1760" w:type="dxa"/>
            <w:tcBorders>
              <w:top w:val="nil"/>
              <w:left w:val="nil"/>
              <w:bottom w:val="single" w:sz="4" w:space="0" w:color="auto"/>
              <w:right w:val="single" w:sz="8" w:space="0" w:color="auto"/>
            </w:tcBorders>
            <w:noWrap/>
            <w:vAlign w:val="bottom"/>
          </w:tcPr>
          <w:p w14:paraId="40035C90" w14:textId="77777777" w:rsidR="004929BE" w:rsidRDefault="004929BE">
            <w:pPr>
              <w:jc w:val="right"/>
              <w:rPr>
                <w:rFonts w:ascii="Tahoma" w:hAnsi="Tahoma" w:cs="Tahoma"/>
                <w:color w:val="000000"/>
                <w:sz w:val="18"/>
                <w:szCs w:val="18"/>
              </w:rPr>
            </w:pPr>
            <w:r>
              <w:rPr>
                <w:rFonts w:ascii="Tahoma" w:hAnsi="Tahoma" w:cs="Tahoma"/>
                <w:color w:val="000000"/>
                <w:sz w:val="18"/>
                <w:szCs w:val="18"/>
              </w:rPr>
              <w:t>-752229.67</w:t>
            </w:r>
          </w:p>
        </w:tc>
      </w:tr>
      <w:tr w:rsidR="004929BE" w14:paraId="58E1ACE0" w14:textId="77777777" w:rsidTr="0053203A">
        <w:trPr>
          <w:trHeight w:val="225"/>
        </w:trPr>
        <w:tc>
          <w:tcPr>
            <w:tcW w:w="820" w:type="dxa"/>
            <w:tcBorders>
              <w:top w:val="nil"/>
              <w:left w:val="single" w:sz="8" w:space="0" w:color="auto"/>
              <w:bottom w:val="single" w:sz="4" w:space="0" w:color="auto"/>
              <w:right w:val="single" w:sz="4" w:space="0" w:color="auto"/>
            </w:tcBorders>
            <w:noWrap/>
            <w:vAlign w:val="bottom"/>
          </w:tcPr>
          <w:p w14:paraId="76664598" w14:textId="77777777" w:rsidR="004929BE" w:rsidRDefault="004929BE">
            <w:pPr>
              <w:jc w:val="center"/>
              <w:rPr>
                <w:rFonts w:ascii="Tahoma" w:hAnsi="Tahoma" w:cs="Tahoma"/>
                <w:color w:val="000000"/>
                <w:sz w:val="18"/>
                <w:szCs w:val="18"/>
              </w:rPr>
            </w:pPr>
            <w:r>
              <w:rPr>
                <w:rFonts w:ascii="Tahoma" w:hAnsi="Tahoma" w:cs="Tahoma"/>
                <w:color w:val="000000"/>
                <w:sz w:val="18"/>
                <w:szCs w:val="18"/>
              </w:rPr>
              <w:t>SV8</w:t>
            </w:r>
          </w:p>
        </w:tc>
        <w:tc>
          <w:tcPr>
            <w:tcW w:w="1760" w:type="dxa"/>
            <w:tcBorders>
              <w:top w:val="nil"/>
              <w:left w:val="nil"/>
              <w:bottom w:val="single" w:sz="4" w:space="0" w:color="auto"/>
              <w:right w:val="single" w:sz="4" w:space="0" w:color="auto"/>
            </w:tcBorders>
            <w:noWrap/>
            <w:vAlign w:val="bottom"/>
          </w:tcPr>
          <w:p w14:paraId="4C88C5B0" w14:textId="77777777" w:rsidR="004929BE" w:rsidRDefault="004929BE">
            <w:pPr>
              <w:jc w:val="right"/>
              <w:rPr>
                <w:rFonts w:ascii="Tahoma" w:hAnsi="Tahoma" w:cs="Tahoma"/>
                <w:color w:val="000000"/>
                <w:sz w:val="18"/>
                <w:szCs w:val="18"/>
              </w:rPr>
            </w:pPr>
            <w:r>
              <w:rPr>
                <w:rFonts w:ascii="Tahoma" w:hAnsi="Tahoma" w:cs="Tahoma"/>
                <w:color w:val="000000"/>
                <w:sz w:val="18"/>
                <w:szCs w:val="18"/>
              </w:rPr>
              <w:t>-1043843.41</w:t>
            </w:r>
          </w:p>
        </w:tc>
        <w:tc>
          <w:tcPr>
            <w:tcW w:w="1760" w:type="dxa"/>
            <w:tcBorders>
              <w:top w:val="nil"/>
              <w:left w:val="nil"/>
              <w:bottom w:val="single" w:sz="4" w:space="0" w:color="auto"/>
              <w:right w:val="single" w:sz="8" w:space="0" w:color="auto"/>
            </w:tcBorders>
            <w:noWrap/>
            <w:vAlign w:val="bottom"/>
          </w:tcPr>
          <w:p w14:paraId="3614D950" w14:textId="77777777" w:rsidR="004929BE" w:rsidRDefault="004929BE">
            <w:pPr>
              <w:jc w:val="right"/>
              <w:rPr>
                <w:rFonts w:ascii="Tahoma" w:hAnsi="Tahoma" w:cs="Tahoma"/>
                <w:color w:val="000000"/>
                <w:sz w:val="18"/>
                <w:szCs w:val="18"/>
              </w:rPr>
            </w:pPr>
            <w:r>
              <w:rPr>
                <w:rFonts w:ascii="Tahoma" w:hAnsi="Tahoma" w:cs="Tahoma"/>
                <w:color w:val="000000"/>
                <w:sz w:val="18"/>
                <w:szCs w:val="18"/>
              </w:rPr>
              <w:t>-752228.18</w:t>
            </w:r>
          </w:p>
        </w:tc>
      </w:tr>
      <w:tr w:rsidR="004929BE" w14:paraId="6B468715" w14:textId="77777777" w:rsidTr="0053203A">
        <w:trPr>
          <w:trHeight w:val="240"/>
        </w:trPr>
        <w:tc>
          <w:tcPr>
            <w:tcW w:w="820" w:type="dxa"/>
            <w:tcBorders>
              <w:top w:val="nil"/>
              <w:left w:val="single" w:sz="8" w:space="0" w:color="auto"/>
              <w:bottom w:val="single" w:sz="8" w:space="0" w:color="auto"/>
              <w:right w:val="single" w:sz="4" w:space="0" w:color="auto"/>
            </w:tcBorders>
            <w:noWrap/>
            <w:vAlign w:val="bottom"/>
          </w:tcPr>
          <w:p w14:paraId="64B1ECE8" w14:textId="77777777" w:rsidR="004929BE" w:rsidRDefault="004929BE">
            <w:pPr>
              <w:jc w:val="center"/>
              <w:rPr>
                <w:rFonts w:ascii="Tahoma" w:hAnsi="Tahoma" w:cs="Tahoma"/>
                <w:color w:val="000000"/>
                <w:sz w:val="18"/>
                <w:szCs w:val="18"/>
              </w:rPr>
            </w:pPr>
            <w:r>
              <w:rPr>
                <w:rFonts w:ascii="Tahoma" w:hAnsi="Tahoma" w:cs="Tahoma"/>
                <w:color w:val="000000"/>
                <w:sz w:val="18"/>
                <w:szCs w:val="18"/>
              </w:rPr>
              <w:t>SV9</w:t>
            </w:r>
          </w:p>
        </w:tc>
        <w:tc>
          <w:tcPr>
            <w:tcW w:w="1760" w:type="dxa"/>
            <w:tcBorders>
              <w:top w:val="nil"/>
              <w:left w:val="nil"/>
              <w:bottom w:val="single" w:sz="8" w:space="0" w:color="auto"/>
              <w:right w:val="single" w:sz="4" w:space="0" w:color="auto"/>
            </w:tcBorders>
            <w:noWrap/>
            <w:vAlign w:val="bottom"/>
          </w:tcPr>
          <w:p w14:paraId="18DA70D4" w14:textId="77777777" w:rsidR="004929BE" w:rsidRDefault="004929BE">
            <w:pPr>
              <w:jc w:val="right"/>
              <w:rPr>
                <w:rFonts w:ascii="Tahoma" w:hAnsi="Tahoma" w:cs="Tahoma"/>
                <w:color w:val="000000"/>
                <w:sz w:val="18"/>
                <w:szCs w:val="18"/>
              </w:rPr>
            </w:pPr>
            <w:r>
              <w:rPr>
                <w:rFonts w:ascii="Tahoma" w:hAnsi="Tahoma" w:cs="Tahoma"/>
                <w:color w:val="000000"/>
                <w:sz w:val="18"/>
                <w:szCs w:val="18"/>
              </w:rPr>
              <w:t>-1043868.45</w:t>
            </w:r>
          </w:p>
        </w:tc>
        <w:tc>
          <w:tcPr>
            <w:tcW w:w="1760" w:type="dxa"/>
            <w:tcBorders>
              <w:top w:val="nil"/>
              <w:left w:val="nil"/>
              <w:bottom w:val="single" w:sz="8" w:space="0" w:color="auto"/>
              <w:right w:val="single" w:sz="8" w:space="0" w:color="auto"/>
            </w:tcBorders>
            <w:noWrap/>
            <w:vAlign w:val="bottom"/>
          </w:tcPr>
          <w:p w14:paraId="0F2721C0" w14:textId="77777777" w:rsidR="004929BE" w:rsidRDefault="004929BE">
            <w:pPr>
              <w:jc w:val="right"/>
              <w:rPr>
                <w:rFonts w:ascii="Tahoma" w:hAnsi="Tahoma" w:cs="Tahoma"/>
                <w:color w:val="000000"/>
                <w:sz w:val="18"/>
                <w:szCs w:val="18"/>
              </w:rPr>
            </w:pPr>
            <w:r>
              <w:rPr>
                <w:rFonts w:ascii="Tahoma" w:hAnsi="Tahoma" w:cs="Tahoma"/>
                <w:color w:val="000000"/>
                <w:sz w:val="18"/>
                <w:szCs w:val="18"/>
              </w:rPr>
              <w:t>-752228.04</w:t>
            </w:r>
          </w:p>
        </w:tc>
      </w:tr>
    </w:tbl>
    <w:p w14:paraId="0BB923A6" w14:textId="77777777" w:rsidR="004929BE" w:rsidRPr="00375E22" w:rsidRDefault="004929BE">
      <w:pPr>
        <w:spacing w:after="120" w:line="276" w:lineRule="auto"/>
        <w:jc w:val="both"/>
        <w:rPr>
          <w:rFonts w:ascii="Arial Narrow" w:hAnsi="Arial Narrow" w:cs="Arial Narrow"/>
          <w:sz w:val="24"/>
          <w:szCs w:val="24"/>
        </w:rPr>
      </w:pPr>
    </w:p>
    <w:p w14:paraId="589943E3" w14:textId="77777777" w:rsidR="004929BE" w:rsidRPr="00375E22" w:rsidRDefault="004929BE">
      <w:pPr>
        <w:spacing w:after="120" w:line="276" w:lineRule="auto"/>
        <w:jc w:val="both"/>
        <w:rPr>
          <w:rFonts w:ascii="Arial Narrow" w:hAnsi="Arial Narrow" w:cs="Arial Narrow"/>
          <w:b/>
          <w:bCs/>
          <w:sz w:val="24"/>
          <w:szCs w:val="24"/>
        </w:rPr>
      </w:pPr>
      <w:r w:rsidRPr="00375E22">
        <w:rPr>
          <w:rFonts w:ascii="Arial Narrow" w:hAnsi="Arial Narrow" w:cs="Arial Narrow"/>
          <w:b/>
          <w:bCs/>
          <w:sz w:val="24"/>
          <w:szCs w:val="24"/>
        </w:rPr>
        <w:t>Vnější vlivy a krytí</w:t>
      </w:r>
    </w:p>
    <w:p w14:paraId="0ACE383B" w14:textId="77777777" w:rsidR="004929BE" w:rsidRPr="00375E22" w:rsidRDefault="004929BE" w:rsidP="0053203A">
      <w:pPr>
        <w:spacing w:line="276" w:lineRule="auto"/>
        <w:jc w:val="both"/>
        <w:rPr>
          <w:rFonts w:ascii="Arial Narrow" w:hAnsi="Arial Narrow" w:cs="Arial Narrow"/>
          <w:sz w:val="24"/>
          <w:szCs w:val="24"/>
        </w:rPr>
      </w:pPr>
      <w:r w:rsidRPr="00375E22">
        <w:rPr>
          <w:rFonts w:ascii="Arial Narrow" w:hAnsi="Arial Narrow" w:cs="Arial Narrow"/>
          <w:sz w:val="24"/>
          <w:szCs w:val="24"/>
        </w:rPr>
        <w:t>Druhy prostředí: dle ČSN 33 20 00–5–51ed3</w:t>
      </w:r>
    </w:p>
    <w:p w14:paraId="244FDDF7" w14:textId="77777777" w:rsidR="004929BE" w:rsidRPr="00375E22" w:rsidRDefault="004929BE" w:rsidP="0053203A">
      <w:pPr>
        <w:spacing w:line="276" w:lineRule="auto"/>
        <w:jc w:val="both"/>
        <w:rPr>
          <w:rFonts w:ascii="Arial Narrow" w:hAnsi="Arial Narrow" w:cs="Arial Narrow"/>
          <w:sz w:val="24"/>
          <w:szCs w:val="24"/>
        </w:rPr>
      </w:pPr>
      <w:r w:rsidRPr="00375E22">
        <w:rPr>
          <w:rFonts w:ascii="Arial Narrow" w:hAnsi="Arial Narrow" w:cs="Arial Narrow"/>
          <w:sz w:val="24"/>
          <w:szCs w:val="24"/>
        </w:rPr>
        <w:t>Prostory dle ČSN 33 20 00–5–51ed3, AB 8, prostory venkovní, nechráněné před atmosférickými vlivy s nízkými i vysokými teplotami.</w:t>
      </w:r>
    </w:p>
    <w:p w14:paraId="27031EDB" w14:textId="77777777" w:rsidR="004929BE" w:rsidRPr="00375E22" w:rsidRDefault="004929BE" w:rsidP="0053203A">
      <w:pPr>
        <w:spacing w:line="276" w:lineRule="auto"/>
        <w:jc w:val="both"/>
        <w:rPr>
          <w:rFonts w:ascii="Arial Narrow" w:hAnsi="Arial Narrow" w:cs="Arial Narrow"/>
          <w:sz w:val="24"/>
          <w:szCs w:val="24"/>
        </w:rPr>
      </w:pPr>
      <w:r w:rsidRPr="00375E22">
        <w:rPr>
          <w:rFonts w:ascii="Arial Narrow" w:hAnsi="Arial Narrow" w:cs="Arial Narrow"/>
          <w:sz w:val="24"/>
          <w:szCs w:val="24"/>
        </w:rPr>
        <w:t>Prostředí AD 2, AD3, AD 4, volně padající kapky, vodní tříšť, stříkající voda.</w:t>
      </w:r>
    </w:p>
    <w:p w14:paraId="0D6104C6" w14:textId="169DEC57" w:rsidR="004929BE" w:rsidRPr="00375E22" w:rsidRDefault="004929BE" w:rsidP="0053203A">
      <w:pPr>
        <w:spacing w:after="120" w:line="276" w:lineRule="auto"/>
        <w:jc w:val="both"/>
        <w:rPr>
          <w:rFonts w:ascii="Arial Narrow" w:hAnsi="Arial Narrow" w:cs="Arial Narrow"/>
          <w:b/>
          <w:bCs/>
          <w:sz w:val="24"/>
          <w:szCs w:val="24"/>
        </w:rPr>
      </w:pPr>
      <w:r w:rsidRPr="00375E22">
        <w:rPr>
          <w:rFonts w:ascii="Arial Narrow" w:hAnsi="Arial Narrow" w:cs="Arial Narrow"/>
          <w:sz w:val="24"/>
          <w:szCs w:val="24"/>
        </w:rPr>
        <w:t>BA 4- obsluha poučená</w:t>
      </w:r>
    </w:p>
    <w:p w14:paraId="5E00C791" w14:textId="77777777" w:rsidR="004929BE" w:rsidRPr="00375E22" w:rsidRDefault="004929BE">
      <w:pPr>
        <w:spacing w:after="120" w:line="276" w:lineRule="auto"/>
        <w:jc w:val="both"/>
        <w:rPr>
          <w:rFonts w:ascii="Arial Narrow" w:hAnsi="Arial Narrow" w:cs="Arial Narrow"/>
          <w:b/>
          <w:bCs/>
          <w:sz w:val="24"/>
          <w:szCs w:val="24"/>
        </w:rPr>
      </w:pPr>
      <w:r w:rsidRPr="00375E22">
        <w:rPr>
          <w:rFonts w:ascii="Arial Narrow" w:hAnsi="Arial Narrow" w:cs="Arial Narrow"/>
          <w:b/>
          <w:bCs/>
          <w:sz w:val="24"/>
          <w:szCs w:val="24"/>
        </w:rPr>
        <w:t>Stanovení prostoru pro rozvody VO</w:t>
      </w:r>
    </w:p>
    <w:p w14:paraId="5EF4E2E3" w14:textId="77777777"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Kabelové vedení v zemi bez agresivních vlivů, prostor typu VI - venkovní. Z hlediska možnosti vzniku úrazu elektrickým proudem je prostor stanoven za bezpečný, za předpokladu splnění podmínky BA5 - manipulace osobami znalými. Podmínky podle ČSN 33 2000-5-51 ed3.</w:t>
      </w:r>
    </w:p>
    <w:p w14:paraId="73B0F6CD" w14:textId="77777777" w:rsidR="004929BE" w:rsidRPr="00375E22" w:rsidRDefault="004929BE">
      <w:pPr>
        <w:spacing w:after="120" w:line="276" w:lineRule="auto"/>
        <w:jc w:val="both"/>
        <w:rPr>
          <w:rFonts w:ascii="Arial Narrow" w:hAnsi="Arial Narrow" w:cs="Arial Narrow"/>
          <w:b/>
          <w:bCs/>
          <w:sz w:val="24"/>
          <w:szCs w:val="24"/>
        </w:rPr>
      </w:pPr>
      <w:r w:rsidRPr="00375E22">
        <w:rPr>
          <w:rFonts w:ascii="Arial Narrow" w:hAnsi="Arial Narrow" w:cs="Arial Narrow"/>
          <w:b/>
          <w:bCs/>
          <w:sz w:val="24"/>
          <w:szCs w:val="24"/>
        </w:rPr>
        <w:t>Stupeň důležitosti dodávky el. energie</w:t>
      </w:r>
    </w:p>
    <w:p w14:paraId="66F91C98" w14:textId="77777777"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Ve smyslu ČSN 341610 dodávka 3. stupně, nezajišťovaná zvláštními opatřeními.</w:t>
      </w:r>
    </w:p>
    <w:p w14:paraId="7DCAD273" w14:textId="77777777" w:rsidR="004929BE" w:rsidRPr="00375E22" w:rsidRDefault="004929BE">
      <w:pPr>
        <w:spacing w:after="120" w:line="276" w:lineRule="auto"/>
        <w:jc w:val="both"/>
        <w:rPr>
          <w:rFonts w:ascii="Arial Narrow" w:hAnsi="Arial Narrow" w:cs="Arial Narrow"/>
          <w:b/>
          <w:bCs/>
          <w:sz w:val="24"/>
          <w:szCs w:val="24"/>
        </w:rPr>
      </w:pPr>
      <w:r w:rsidRPr="00375E22">
        <w:rPr>
          <w:rFonts w:ascii="Arial Narrow" w:hAnsi="Arial Narrow" w:cs="Arial Narrow"/>
          <w:b/>
          <w:bCs/>
          <w:sz w:val="24"/>
          <w:szCs w:val="24"/>
        </w:rPr>
        <w:t>Ochrana proti zkratu a přetížení</w:t>
      </w:r>
    </w:p>
    <w:p w14:paraId="68F880CF" w14:textId="77777777"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Bude provedena výkonovými jističi v kabelovém vedení, pojistkou pro jištění vlastních svítidel. Dimenzování podle ČSN 33 2000-5-52 ed2.</w:t>
      </w:r>
    </w:p>
    <w:p w14:paraId="207268EE" w14:textId="77777777" w:rsidR="004929BE" w:rsidRPr="00375E22" w:rsidRDefault="004929BE">
      <w:pPr>
        <w:spacing w:after="120" w:line="276" w:lineRule="auto"/>
        <w:jc w:val="both"/>
        <w:rPr>
          <w:rFonts w:ascii="Arial Narrow" w:hAnsi="Arial Narrow" w:cs="Arial Narrow"/>
          <w:b/>
          <w:bCs/>
          <w:sz w:val="24"/>
          <w:szCs w:val="24"/>
        </w:rPr>
      </w:pPr>
      <w:r w:rsidRPr="00375E22">
        <w:rPr>
          <w:rFonts w:ascii="Arial Narrow" w:hAnsi="Arial Narrow" w:cs="Arial Narrow"/>
          <w:b/>
          <w:bCs/>
          <w:sz w:val="24"/>
          <w:szCs w:val="24"/>
        </w:rPr>
        <w:t>Druh a způsob uzemnění, zemní odpor</w:t>
      </w:r>
    </w:p>
    <w:p w14:paraId="6030433B" w14:textId="77777777"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Vodič PEN v distribuční kabelové síti TN-C se musí uzemnit nebo spojit s uzemňovací soustavou, kromě uzlu zdroje, také v místech vzdálenějších než 200 metrů od předcházejícího uzemnění. Zemní odpor max. 15 ohmů, uzel zdroje. Pro uzemnění platí ČSN 33 2000-5-54 ed3. Připojeny na zemnící svorky budou všechny kovové stožáry.</w:t>
      </w:r>
    </w:p>
    <w:p w14:paraId="5340418F" w14:textId="43807423"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Uzemnění bude provedeno položením zemnícího vodiče FeZn 10 mm2 a to 10 cm pod kabelová vedení na straně výkopu do rostlé země. Všechny spoje v zemi budou provedeny dvěma svorkami a budou zality gumoasfaltem.</w:t>
      </w:r>
    </w:p>
    <w:p w14:paraId="631FF891" w14:textId="77777777" w:rsidR="004929BE" w:rsidRPr="00375E22" w:rsidRDefault="004929BE">
      <w:pPr>
        <w:spacing w:after="120" w:line="276" w:lineRule="auto"/>
        <w:jc w:val="both"/>
        <w:rPr>
          <w:rFonts w:ascii="Arial Narrow" w:hAnsi="Arial Narrow" w:cs="Arial Narrow"/>
          <w:b/>
          <w:bCs/>
          <w:sz w:val="24"/>
          <w:szCs w:val="24"/>
        </w:rPr>
      </w:pPr>
      <w:r w:rsidRPr="00375E22">
        <w:rPr>
          <w:rFonts w:ascii="Arial Narrow" w:hAnsi="Arial Narrow" w:cs="Arial Narrow"/>
          <w:b/>
          <w:bCs/>
          <w:sz w:val="24"/>
          <w:szCs w:val="24"/>
        </w:rPr>
        <w:t>Ochrana před úrazem elektrickým proudem podle ČSN 33 2000-4-41ed3</w:t>
      </w:r>
    </w:p>
    <w:p w14:paraId="5C8FC8E9"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živých částí</w:t>
      </w:r>
      <w:r w:rsidRPr="00375E22">
        <w:rPr>
          <w:rFonts w:ascii="Arial Narrow" w:hAnsi="Arial Narrow" w:cs="Arial Narrow"/>
          <w:sz w:val="24"/>
          <w:szCs w:val="24"/>
        </w:rPr>
        <w:tab/>
        <w:t>- izolací, kryty a přepážkami</w:t>
      </w:r>
    </w:p>
    <w:p w14:paraId="131B849D"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lastRenderedPageBreak/>
        <w:t>neživých částí</w:t>
      </w:r>
      <w:r w:rsidRPr="00375E22">
        <w:rPr>
          <w:rFonts w:ascii="Arial Narrow" w:hAnsi="Arial Narrow" w:cs="Arial Narrow"/>
          <w:sz w:val="24"/>
          <w:szCs w:val="24"/>
        </w:rPr>
        <w:tab/>
        <w:t>- samočinným odpojením od zdroje při poruše</w:t>
      </w:r>
    </w:p>
    <w:p w14:paraId="21BB3914" w14:textId="77777777" w:rsidR="004929BE" w:rsidRPr="00375E22" w:rsidRDefault="004929BE">
      <w:pPr>
        <w:spacing w:after="120" w:line="276" w:lineRule="auto"/>
        <w:ind w:left="709" w:firstLine="709"/>
        <w:jc w:val="both"/>
        <w:rPr>
          <w:rFonts w:ascii="Arial Narrow" w:hAnsi="Arial Narrow" w:cs="Arial Narrow"/>
          <w:sz w:val="24"/>
          <w:szCs w:val="24"/>
        </w:rPr>
      </w:pPr>
      <w:r w:rsidRPr="00375E22">
        <w:rPr>
          <w:rFonts w:ascii="Arial Narrow" w:hAnsi="Arial Narrow" w:cs="Arial Narrow"/>
          <w:sz w:val="24"/>
          <w:szCs w:val="24"/>
        </w:rPr>
        <w:t>- použitím jistících nadproudových prvků v síti TN-C</w:t>
      </w:r>
    </w:p>
    <w:p w14:paraId="26897707" w14:textId="77777777" w:rsidR="004929BE" w:rsidRPr="00375E22" w:rsidRDefault="004929BE">
      <w:pPr>
        <w:spacing w:after="120" w:line="276" w:lineRule="auto"/>
        <w:jc w:val="both"/>
        <w:rPr>
          <w:rFonts w:ascii="Arial Narrow" w:hAnsi="Arial Narrow" w:cs="Arial Narrow"/>
          <w:b/>
          <w:bCs/>
          <w:sz w:val="24"/>
          <w:szCs w:val="24"/>
        </w:rPr>
      </w:pPr>
      <w:r w:rsidRPr="00375E22">
        <w:rPr>
          <w:rFonts w:ascii="Arial Narrow" w:hAnsi="Arial Narrow" w:cs="Arial Narrow"/>
          <w:b/>
          <w:bCs/>
          <w:sz w:val="24"/>
          <w:szCs w:val="24"/>
        </w:rPr>
        <w:t>Ochranná pásma</w:t>
      </w:r>
    </w:p>
    <w:p w14:paraId="02A81B51" w14:textId="77777777"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Ochranná pásma u kabelových vedení je 1,0 m na každou stranu kabelového vedení.</w:t>
      </w:r>
    </w:p>
    <w:p w14:paraId="062CA8C1" w14:textId="77777777" w:rsidR="004929BE" w:rsidRPr="00375E22" w:rsidRDefault="004929BE">
      <w:pPr>
        <w:spacing w:after="120" w:line="276" w:lineRule="auto"/>
        <w:jc w:val="both"/>
        <w:rPr>
          <w:rFonts w:ascii="Arial Narrow" w:hAnsi="Arial Narrow" w:cs="Arial Narrow"/>
          <w:b/>
          <w:bCs/>
          <w:sz w:val="24"/>
          <w:szCs w:val="24"/>
        </w:rPr>
      </w:pPr>
      <w:r w:rsidRPr="00375E22">
        <w:rPr>
          <w:rFonts w:ascii="Arial Narrow" w:hAnsi="Arial Narrow" w:cs="Arial Narrow"/>
          <w:b/>
          <w:bCs/>
          <w:sz w:val="24"/>
          <w:szCs w:val="24"/>
        </w:rPr>
        <w:t>Zemní práce</w:t>
      </w:r>
    </w:p>
    <w:p w14:paraId="7A529BAD"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 xml:space="preserve">Kabely VO jsou vedeny v zemi v kabelovém výkopku. Kabelový výkopek je 80cm hluboký a kabel je uložený v 8cm vrstvě písku do hloubky cca 75 cm od povrchu, min. 30 cm od povrchu bude položena výstražná folie. V místech, kde kabelový výkop křižuje plochu příjezdové komunikace budou kabely uloženy v obetonované chráničce DN110 s hloubkou uložení 100cm a přesahem do přilehlých ploch 0,5m. </w:t>
      </w:r>
    </w:p>
    <w:p w14:paraId="4E2B2915" w14:textId="6F704A73"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 xml:space="preserve">Základy stožárů budou provedeny dle podkladů konkrétního výrobce sloupů. Stožáry budou osazeny do jámy, ve které bude uložena nastojato PVC trubka DN200, délky cca </w:t>
      </w:r>
      <w:r w:rsidR="0053203A">
        <w:rPr>
          <w:rFonts w:ascii="Arial Narrow" w:hAnsi="Arial Narrow" w:cs="Arial Narrow"/>
          <w:sz w:val="24"/>
          <w:szCs w:val="24"/>
        </w:rPr>
        <w:t>9</w:t>
      </w:r>
      <w:r w:rsidRPr="00375E22">
        <w:rPr>
          <w:rFonts w:ascii="Arial Narrow" w:hAnsi="Arial Narrow" w:cs="Arial Narrow"/>
          <w:sz w:val="24"/>
          <w:szCs w:val="24"/>
        </w:rPr>
        <w:t>00 mm. Trubka bude zvenku zalita betonem. Stožár bude v trubce zasypán hutněným pískem a bude vytvořen betonový kryt 10 cm nad terén.</w:t>
      </w:r>
    </w:p>
    <w:p w14:paraId="68D3F540"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Průchod kabelů bet. základem bude proveden dvěma trubkami KF09040. V místech souběhu s dalšími elektrickými vedeními budou mezi kabely VO a dalším vedením vkládány oddělovací cihly.</w:t>
      </w:r>
    </w:p>
    <w:p w14:paraId="2674844C" w14:textId="77777777"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Chráničky o pr. 110 mm budou na obou koncích zapěnovány proti vnikání vlhkosti a vody do chrániček. Chráničky pod komunikacemi budou obetonovány cca 20 cm, betonem B25/30.</w:t>
      </w:r>
    </w:p>
    <w:p w14:paraId="5F042E99" w14:textId="77777777" w:rsidR="004929BE" w:rsidRPr="00375E22" w:rsidRDefault="004929BE">
      <w:pPr>
        <w:spacing w:line="276" w:lineRule="auto"/>
        <w:jc w:val="both"/>
        <w:rPr>
          <w:rFonts w:ascii="Arial Narrow" w:hAnsi="Arial Narrow" w:cs="Arial Narrow"/>
          <w:b/>
          <w:bCs/>
          <w:sz w:val="24"/>
          <w:szCs w:val="24"/>
        </w:rPr>
      </w:pPr>
      <w:r w:rsidRPr="00375E22">
        <w:rPr>
          <w:rFonts w:ascii="Arial Narrow" w:hAnsi="Arial Narrow" w:cs="Arial Narrow"/>
          <w:b/>
          <w:bCs/>
          <w:sz w:val="24"/>
          <w:szCs w:val="24"/>
        </w:rPr>
        <w:t>Poznámka:</w:t>
      </w:r>
    </w:p>
    <w:p w14:paraId="3E7C9F5D" w14:textId="77777777" w:rsidR="004929BE" w:rsidRPr="00375E22" w:rsidRDefault="004929BE">
      <w:pPr>
        <w:spacing w:after="120" w:line="276" w:lineRule="auto"/>
        <w:jc w:val="both"/>
        <w:rPr>
          <w:rFonts w:ascii="Arial Narrow" w:hAnsi="Arial Narrow" w:cs="Arial Narrow"/>
          <w:b/>
          <w:bCs/>
          <w:sz w:val="24"/>
          <w:szCs w:val="24"/>
        </w:rPr>
      </w:pPr>
      <w:r w:rsidRPr="00375E22">
        <w:rPr>
          <w:rFonts w:ascii="Arial Narrow" w:hAnsi="Arial Narrow" w:cs="Arial Narrow"/>
          <w:b/>
          <w:bCs/>
          <w:sz w:val="24"/>
          <w:szCs w:val="24"/>
        </w:rPr>
        <w:t>Kabely budou do stožárů protaženy základem stožáru až po osazení stožáru do stožárového pouzdra. Ukončení kabelů VO ve stožárech bude provedeno kabelovými koncovkami. Rozvod VO bude proveden dle směrnice ELTS 14 – Zařízení pro rozvod VO.</w:t>
      </w:r>
    </w:p>
    <w:p w14:paraId="4DFA8F52" w14:textId="77777777" w:rsidR="004929BE" w:rsidRPr="00375E22" w:rsidRDefault="004929BE">
      <w:pPr>
        <w:spacing w:line="276" w:lineRule="auto"/>
        <w:jc w:val="both"/>
        <w:rPr>
          <w:rFonts w:ascii="Arial Narrow" w:hAnsi="Arial Narrow" w:cs="Arial Narrow"/>
          <w:b/>
          <w:bCs/>
          <w:sz w:val="24"/>
          <w:szCs w:val="24"/>
        </w:rPr>
      </w:pPr>
      <w:r w:rsidRPr="00375E22">
        <w:rPr>
          <w:rFonts w:ascii="Arial Narrow" w:hAnsi="Arial Narrow" w:cs="Arial Narrow"/>
          <w:b/>
          <w:bCs/>
          <w:sz w:val="24"/>
          <w:szCs w:val="24"/>
        </w:rPr>
        <w:t>Ochrana životního prostředí</w:t>
      </w:r>
    </w:p>
    <w:p w14:paraId="20592325" w14:textId="77777777" w:rsidR="004929BE" w:rsidRPr="00375E22" w:rsidRDefault="004929BE">
      <w:pPr>
        <w:spacing w:after="120" w:line="276" w:lineRule="auto"/>
        <w:jc w:val="both"/>
        <w:rPr>
          <w:rFonts w:ascii="Arial Narrow" w:hAnsi="Arial Narrow" w:cs="Arial Narrow"/>
          <w:sz w:val="24"/>
          <w:szCs w:val="24"/>
        </w:rPr>
      </w:pPr>
      <w:r w:rsidRPr="00375E22">
        <w:rPr>
          <w:rFonts w:ascii="Arial Narrow" w:hAnsi="Arial Narrow" w:cs="Arial Narrow"/>
          <w:sz w:val="24"/>
          <w:szCs w:val="24"/>
        </w:rPr>
        <w:t>Ochrana stromů, porostů a vegetačních ploch při stavebních pracích. Při hloubení výkopů je nejmenší vzdálenost od paty kmene dřevin 2,5m. Výkopové práce v kořenovém systému musí být prováděny ručně. Nesmí dojít k přetnutí kořenů s průměrem 2cm a větším. Stromy a keře musí být vysazeny mimo kabelovou trasu. Kmeny stromů musí být minimálně 5 m od stožárů VO. Po jejich vzrůstu nesmí dojít k zastínění svítidel a musí být dodrženo osvětlení komunikace podle ČSN EN 13201-1 až 5. Kabelové vedení v okolí stromů musí být uloženo v chráničce.</w:t>
      </w:r>
    </w:p>
    <w:p w14:paraId="16A5FA91" w14:textId="77777777" w:rsidR="004929BE" w:rsidRPr="00375E22" w:rsidRDefault="004929BE">
      <w:pPr>
        <w:numPr>
          <w:ilvl w:val="0"/>
          <w:numId w:val="1"/>
        </w:numPr>
        <w:tabs>
          <w:tab w:val="clear" w:pos="360"/>
          <w:tab w:val="left" w:pos="709"/>
        </w:tabs>
        <w:spacing w:after="120" w:line="276" w:lineRule="auto"/>
        <w:ind w:left="709" w:hanging="709"/>
        <w:jc w:val="both"/>
        <w:outlineLvl w:val="0"/>
        <w:rPr>
          <w:rFonts w:ascii="Arial Narrow" w:hAnsi="Arial Narrow" w:cs="Arial Narrow"/>
          <w:b/>
          <w:bCs/>
          <w:sz w:val="24"/>
          <w:szCs w:val="24"/>
          <w:u w:val="single"/>
        </w:rPr>
      </w:pPr>
      <w:bookmarkStart w:id="5" w:name="_Toc109835517"/>
      <w:r w:rsidRPr="00375E22">
        <w:rPr>
          <w:rFonts w:ascii="Arial Narrow" w:hAnsi="Arial Narrow" w:cs="Arial Narrow"/>
          <w:b/>
          <w:bCs/>
          <w:sz w:val="24"/>
          <w:szCs w:val="24"/>
          <w:u w:val="single"/>
        </w:rPr>
        <w:t>Závěr</w:t>
      </w:r>
      <w:bookmarkEnd w:id="5"/>
    </w:p>
    <w:p w14:paraId="788A4206"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Před uvedením elektrického zařízení do provozu bude na elektrickém zařízení provedena výchozí revize a geodetické zaměření kabelových tras.</w:t>
      </w:r>
    </w:p>
    <w:p w14:paraId="6B13C69B"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Pro dohotovení rozvodů elektroinstalace se případné změny na výkresové dokumentaci opraví podle skutečného provedení a prováděcí firma tuto dokumentaci spolu se zprávou o výchozí revizi předá investorovi montážních prací. Dokumentaci skutečného povedení musí investor uschovat, opravovat a doplňovat podle skutečného stavu a při revizích ji musí předložit.</w:t>
      </w:r>
    </w:p>
    <w:p w14:paraId="70B70DD5"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lastRenderedPageBreak/>
        <w:t>V průběhu stavby musí stavebník vyzvat správce ke kontrole uložení kabelové trasy VO, SO před zásypem, a to minimálně 7 dní předem. Pokud se správce nedostaví ke kontrole, platí, že souhlasí se zásypem kabelové trasy. Při zemních pracích v blízkosti kabelového vedení VO je stavebník povinen zajistit, aby nedošlo ke změně nivelity nebo prostorového uspořádání. Odkryté kabelové vedení je stavebník povinen zajistit proti poškození, odcizení a prověšení. Trasa kabelového vedení nesmí být přejížděna vozidly nebo jinou stavební mechanizací až do doby, kdy bude zabezpečena proti mechanickému poškození. Stavebník si musí nechat od správce vytyčit stávající kabelové vedení před zahájením stavební činnosti.</w:t>
      </w:r>
    </w:p>
    <w:p w14:paraId="399AA961" w14:textId="77777777" w:rsidR="004929BE" w:rsidRPr="00375E22" w:rsidRDefault="004929BE">
      <w:pPr>
        <w:spacing w:line="276" w:lineRule="auto"/>
        <w:jc w:val="both"/>
        <w:rPr>
          <w:rFonts w:ascii="Arial Narrow" w:hAnsi="Arial Narrow" w:cs="Arial Narrow"/>
          <w:sz w:val="24"/>
          <w:szCs w:val="24"/>
        </w:rPr>
      </w:pPr>
    </w:p>
    <w:p w14:paraId="7D60B198" w14:textId="77777777" w:rsidR="004929BE" w:rsidRPr="00375E22" w:rsidRDefault="004929BE">
      <w:pPr>
        <w:spacing w:line="276" w:lineRule="auto"/>
        <w:jc w:val="both"/>
        <w:rPr>
          <w:rFonts w:ascii="Arial Narrow" w:hAnsi="Arial Narrow" w:cs="Arial Narrow"/>
          <w:sz w:val="24"/>
          <w:szCs w:val="24"/>
        </w:rPr>
      </w:pPr>
    </w:p>
    <w:p w14:paraId="018A1FBD"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V Praze, 07/2022</w:t>
      </w:r>
    </w:p>
    <w:p w14:paraId="2AF05188"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Vypracoval: Ing. B.Krösslová, Pavel Tesař</w:t>
      </w:r>
    </w:p>
    <w:p w14:paraId="607486E7" w14:textId="77777777" w:rsidR="004929BE" w:rsidRPr="00375E22" w:rsidRDefault="004929BE">
      <w:pPr>
        <w:spacing w:line="276" w:lineRule="auto"/>
        <w:jc w:val="both"/>
        <w:rPr>
          <w:rFonts w:ascii="Arial Narrow" w:hAnsi="Arial Narrow" w:cs="Arial Narrow"/>
          <w:sz w:val="24"/>
          <w:szCs w:val="24"/>
        </w:rPr>
      </w:pPr>
    </w:p>
    <w:p w14:paraId="71682F9B"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 xml:space="preserve">PŘÍLOHY: </w:t>
      </w:r>
    </w:p>
    <w:p w14:paraId="44F7542E"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Výpočet osvětlení</w:t>
      </w:r>
    </w:p>
    <w:p w14:paraId="5F6540C0"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Výpočet rušivé osvětlení – Engelmüllerova</w:t>
      </w:r>
    </w:p>
    <w:p w14:paraId="4A71EFFF" w14:textId="77777777" w:rsidR="004929BE" w:rsidRPr="00375E22"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Výpočet rušivé osvětlení – K Šancím</w:t>
      </w:r>
    </w:p>
    <w:p w14:paraId="1010F935" w14:textId="77777777" w:rsidR="004929BE" w:rsidRDefault="004929BE">
      <w:pPr>
        <w:spacing w:line="276" w:lineRule="auto"/>
        <w:jc w:val="both"/>
        <w:rPr>
          <w:rFonts w:ascii="Arial Narrow" w:hAnsi="Arial Narrow" w:cs="Arial Narrow"/>
          <w:sz w:val="24"/>
          <w:szCs w:val="24"/>
        </w:rPr>
      </w:pPr>
      <w:r w:rsidRPr="00375E22">
        <w:rPr>
          <w:rFonts w:ascii="Arial Narrow" w:hAnsi="Arial Narrow" w:cs="Arial Narrow"/>
          <w:sz w:val="24"/>
          <w:szCs w:val="24"/>
        </w:rPr>
        <w:t>Katalogový list</w:t>
      </w:r>
    </w:p>
    <w:p w14:paraId="76352B7C" w14:textId="77777777" w:rsidR="004929BE" w:rsidRDefault="004929BE"/>
    <w:sectPr w:rsidR="004929BE" w:rsidSect="004929B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484C5" w14:textId="77777777" w:rsidR="003D4519" w:rsidRDefault="003D4519">
      <w:r>
        <w:separator/>
      </w:r>
    </w:p>
  </w:endnote>
  <w:endnote w:type="continuationSeparator" w:id="0">
    <w:p w14:paraId="3A8FDC38" w14:textId="77777777" w:rsidR="003D4519" w:rsidRDefault="003D4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ISOCPEUR">
    <w:panose1 w:val="020B0604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908E" w14:textId="77777777" w:rsidR="004929BE" w:rsidRDefault="004929BE">
    <w:pPr>
      <w:pStyle w:val="Zhlav"/>
      <w:pBdr>
        <w:top w:val="single" w:sz="4" w:space="1" w:color="auto"/>
      </w:pBdr>
      <w:rPr>
        <w:rFonts w:ascii="Arial Narrow" w:hAnsi="Arial Narrow" w:cs="Arial Narrow"/>
        <w:color w:val="808080"/>
        <w:sz w:val="24"/>
        <w:szCs w:val="24"/>
      </w:rPr>
    </w:pPr>
    <w:r>
      <w:rPr>
        <w:rFonts w:ascii="ISOCPEUR" w:hAnsi="ISOCPEUR" w:cs="ISOCPEUR"/>
        <w:color w:val="808080"/>
      </w:rPr>
      <w:tab/>
    </w:r>
    <w:r>
      <w:rPr>
        <w:rFonts w:ascii="Arial Narrow" w:hAnsi="Arial Narrow" w:cs="Arial Narrow"/>
        <w:color w:val="808080"/>
        <w:sz w:val="24"/>
        <w:szCs w:val="24"/>
      </w:rPr>
      <w:fldChar w:fldCharType="begin"/>
    </w:r>
    <w:r>
      <w:rPr>
        <w:rFonts w:ascii="Arial Narrow" w:hAnsi="Arial Narrow" w:cs="Arial Narrow"/>
        <w:color w:val="808080"/>
        <w:sz w:val="24"/>
        <w:szCs w:val="24"/>
      </w:rPr>
      <w:instrText xml:space="preserve"> PAGE </w:instrText>
    </w:r>
    <w:r>
      <w:rPr>
        <w:rFonts w:ascii="Arial Narrow" w:hAnsi="Arial Narrow" w:cs="Arial Narrow"/>
        <w:color w:val="808080"/>
        <w:sz w:val="24"/>
        <w:szCs w:val="24"/>
      </w:rPr>
      <w:fldChar w:fldCharType="separate"/>
    </w:r>
    <w:r>
      <w:rPr>
        <w:rFonts w:ascii="Arial Narrow" w:hAnsi="Arial Narrow" w:cs="Arial Narrow"/>
        <w:noProof/>
        <w:color w:val="808080"/>
        <w:sz w:val="24"/>
        <w:szCs w:val="24"/>
      </w:rPr>
      <w:t>4</w:t>
    </w:r>
    <w:r>
      <w:rPr>
        <w:rFonts w:ascii="Arial Narrow" w:hAnsi="Arial Narrow" w:cs="Arial Narrow"/>
        <w:color w:val="808080"/>
        <w:sz w:val="24"/>
        <w:szCs w:val="24"/>
      </w:rPr>
      <w:fldChar w:fldCharType="end"/>
    </w:r>
    <w:r>
      <w:rPr>
        <w:rFonts w:ascii="Arial Narrow" w:hAnsi="Arial Narrow" w:cs="Arial Narrow"/>
        <w:color w:val="808080"/>
        <w:sz w:val="24"/>
        <w:szCs w:val="24"/>
      </w:rPr>
      <w:tab/>
    </w:r>
  </w:p>
  <w:p w14:paraId="354186B5" w14:textId="77777777" w:rsidR="004929BE" w:rsidRDefault="004929BE">
    <w:pPr>
      <w:pStyle w:val="Zhlav"/>
      <w:rPr>
        <w:rFonts w:ascii="ISOCPEUR" w:hAnsi="ISOCPEUR" w:cs="ISOCPEUR"/>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12825" w14:textId="77777777" w:rsidR="003D4519" w:rsidRDefault="003D4519">
      <w:r>
        <w:separator/>
      </w:r>
    </w:p>
  </w:footnote>
  <w:footnote w:type="continuationSeparator" w:id="0">
    <w:p w14:paraId="1EF0D7F3" w14:textId="77777777" w:rsidR="003D4519" w:rsidRDefault="003D45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5D6CA" w14:textId="04DBC96C" w:rsidR="004929BE" w:rsidRDefault="004929BE">
    <w:pPr>
      <w:pStyle w:val="Zhlav"/>
      <w:rPr>
        <w:rFonts w:ascii="Arial Narrow" w:hAnsi="Arial Narrow" w:cs="Arial Narrow"/>
        <w:color w:val="808080"/>
        <w:sz w:val="18"/>
        <w:szCs w:val="18"/>
      </w:rPr>
    </w:pPr>
    <w:bookmarkStart w:id="6" w:name="_Hlk89171568"/>
    <w:r>
      <w:rPr>
        <w:rFonts w:ascii="Arial Narrow" w:hAnsi="Arial Narrow" w:cs="Arial Narrow"/>
        <w:color w:val="808080"/>
        <w:sz w:val="18"/>
        <w:szCs w:val="18"/>
      </w:rPr>
      <w:t>INVESTOR:</w:t>
    </w:r>
    <w:r>
      <w:rPr>
        <w:rFonts w:ascii="Arial Narrow" w:hAnsi="Arial Narrow" w:cs="Arial Narrow"/>
        <w:color w:val="808080"/>
        <w:sz w:val="18"/>
        <w:szCs w:val="18"/>
      </w:rPr>
      <w:tab/>
    </w:r>
    <w:r>
      <w:rPr>
        <w:rFonts w:ascii="Arial Narrow" w:hAnsi="Arial Narrow" w:cs="Arial Narrow"/>
        <w:color w:val="808080"/>
        <w:sz w:val="18"/>
        <w:szCs w:val="18"/>
      </w:rPr>
      <w:tab/>
      <w:t xml:space="preserve"> PROJEKTANT</w:t>
    </w:r>
    <w:r w:rsidR="00375E22">
      <w:rPr>
        <w:rFonts w:ascii="Arial Narrow" w:hAnsi="Arial Narrow" w:cs="Arial Narrow"/>
        <w:color w:val="808080"/>
        <w:sz w:val="18"/>
        <w:szCs w:val="18"/>
      </w:rPr>
      <w:t xml:space="preserve"> ČÁSTI VO</w:t>
    </w:r>
    <w:r>
      <w:rPr>
        <w:rFonts w:ascii="Arial Narrow" w:hAnsi="Arial Narrow" w:cs="Arial Narrow"/>
        <w:color w:val="808080"/>
        <w:sz w:val="18"/>
        <w:szCs w:val="18"/>
      </w:rPr>
      <w:t>:</w:t>
    </w:r>
  </w:p>
  <w:p w14:paraId="599DE131" w14:textId="77777777" w:rsidR="004929BE" w:rsidRDefault="004929BE">
    <w:pPr>
      <w:pStyle w:val="Zhlav"/>
      <w:rPr>
        <w:rFonts w:ascii="Arial Narrow" w:hAnsi="Arial Narrow" w:cs="Arial Narrow"/>
        <w:color w:val="808080"/>
        <w:sz w:val="18"/>
        <w:szCs w:val="18"/>
      </w:rPr>
    </w:pPr>
    <w:r>
      <w:rPr>
        <w:rFonts w:ascii="Arial Narrow" w:hAnsi="Arial Narrow" w:cs="Arial Narrow"/>
        <w:color w:val="808080"/>
        <w:sz w:val="18"/>
        <w:szCs w:val="18"/>
      </w:rPr>
      <w:t>Městská část Praha 17</w:t>
    </w:r>
    <w:r>
      <w:rPr>
        <w:rFonts w:ascii="Arial Narrow" w:hAnsi="Arial Narrow" w:cs="Arial Narrow"/>
        <w:color w:val="808080"/>
        <w:sz w:val="18"/>
        <w:szCs w:val="18"/>
      </w:rPr>
      <w:tab/>
    </w:r>
    <w:r>
      <w:rPr>
        <w:rFonts w:ascii="Arial Narrow" w:hAnsi="Arial Narrow" w:cs="Arial Narrow"/>
        <w:color w:val="808080"/>
        <w:sz w:val="18"/>
        <w:szCs w:val="18"/>
      </w:rPr>
      <w:tab/>
      <w:t>APRIS 3MP s.r.o.</w:t>
    </w:r>
  </w:p>
  <w:p w14:paraId="18D4FE87" w14:textId="77777777" w:rsidR="004929BE" w:rsidRDefault="004929BE">
    <w:pPr>
      <w:pStyle w:val="Zhlav"/>
      <w:rPr>
        <w:rFonts w:ascii="Arial Narrow" w:hAnsi="Arial Narrow" w:cs="Arial Narrow"/>
        <w:color w:val="808080"/>
        <w:sz w:val="18"/>
        <w:szCs w:val="18"/>
      </w:rPr>
    </w:pPr>
    <w:r>
      <w:rPr>
        <w:rFonts w:ascii="Arial Narrow" w:hAnsi="Arial Narrow" w:cs="Arial Narrow"/>
        <w:color w:val="808080"/>
        <w:sz w:val="18"/>
        <w:szCs w:val="18"/>
      </w:rPr>
      <w:t>Žalanského 291/12b</w:t>
    </w:r>
    <w:r>
      <w:rPr>
        <w:rFonts w:ascii="Arial Narrow" w:hAnsi="Arial Narrow" w:cs="Arial Narrow"/>
        <w:color w:val="808080"/>
        <w:sz w:val="18"/>
        <w:szCs w:val="18"/>
      </w:rPr>
      <w:tab/>
    </w:r>
    <w:r>
      <w:rPr>
        <w:rFonts w:ascii="Arial Narrow" w:hAnsi="Arial Narrow" w:cs="Arial Narrow"/>
        <w:color w:val="808080"/>
        <w:sz w:val="18"/>
        <w:szCs w:val="18"/>
      </w:rPr>
      <w:tab/>
      <w:t>Baarova 231/36</w:t>
    </w:r>
  </w:p>
  <w:p w14:paraId="3E353FD5" w14:textId="77777777" w:rsidR="004929BE" w:rsidRDefault="004929BE">
    <w:pPr>
      <w:pStyle w:val="Zhlav"/>
      <w:rPr>
        <w:rFonts w:ascii="Arial Narrow" w:hAnsi="Arial Narrow" w:cs="Arial Narrow"/>
        <w:color w:val="808080"/>
        <w:sz w:val="18"/>
        <w:szCs w:val="18"/>
      </w:rPr>
    </w:pPr>
    <w:r>
      <w:rPr>
        <w:rFonts w:ascii="Arial Narrow" w:hAnsi="Arial Narrow" w:cs="Arial Narrow"/>
        <w:color w:val="808080"/>
        <w:sz w:val="18"/>
        <w:szCs w:val="18"/>
      </w:rPr>
      <w:t>163 02 Praha – Řepy</w:t>
    </w:r>
    <w:r>
      <w:rPr>
        <w:rFonts w:ascii="Arial Narrow" w:hAnsi="Arial Narrow" w:cs="Arial Narrow"/>
        <w:color w:val="808080"/>
        <w:sz w:val="18"/>
        <w:szCs w:val="18"/>
      </w:rPr>
      <w:tab/>
    </w:r>
    <w:r>
      <w:rPr>
        <w:rFonts w:ascii="Arial Narrow" w:hAnsi="Arial Narrow" w:cs="Arial Narrow"/>
        <w:color w:val="808080"/>
        <w:sz w:val="18"/>
        <w:szCs w:val="18"/>
      </w:rPr>
      <w:tab/>
      <w:t xml:space="preserve">140 00 Praha 4 </w:t>
    </w:r>
  </w:p>
  <w:p w14:paraId="1BDEB076" w14:textId="77777777" w:rsidR="004929BE" w:rsidRDefault="004929BE">
    <w:pPr>
      <w:pStyle w:val="Zhlav"/>
      <w:rPr>
        <w:rFonts w:ascii="Arial Narrow" w:hAnsi="Arial Narrow" w:cs="Arial Narrow"/>
        <w:color w:val="808080"/>
        <w:sz w:val="18"/>
        <w:szCs w:val="18"/>
      </w:rPr>
    </w:pPr>
  </w:p>
  <w:p w14:paraId="49246FCA" w14:textId="77777777" w:rsidR="004929BE" w:rsidRDefault="004929BE">
    <w:pPr>
      <w:pStyle w:val="Zhlav"/>
      <w:pBdr>
        <w:bottom w:val="single" w:sz="4" w:space="0" w:color="auto"/>
      </w:pBdr>
      <w:jc w:val="center"/>
      <w:rPr>
        <w:rFonts w:ascii="Arial Narrow" w:hAnsi="Arial Narrow" w:cs="Arial Narrow"/>
        <w:b/>
        <w:bCs/>
        <w:color w:val="808080"/>
        <w:sz w:val="28"/>
        <w:szCs w:val="28"/>
      </w:rPr>
    </w:pPr>
    <w:r>
      <w:rPr>
        <w:rFonts w:ascii="Arial Narrow" w:hAnsi="Arial Narrow" w:cs="Arial Narrow"/>
        <w:b/>
        <w:bCs/>
        <w:color w:val="808080"/>
        <w:sz w:val="28"/>
        <w:szCs w:val="28"/>
      </w:rPr>
      <w:t>DŮM S PEČOVATELSKOU SLUŽBOU A DOSTUPNÝM BYDLENÍM V PRAZE ŘEPÍCH</w:t>
    </w:r>
  </w:p>
  <w:p w14:paraId="15E178D2" w14:textId="77777777" w:rsidR="004929BE" w:rsidRDefault="004929BE">
    <w:pPr>
      <w:pStyle w:val="Zhlav"/>
      <w:pBdr>
        <w:bottom w:val="single" w:sz="4" w:space="0" w:color="auto"/>
      </w:pBdr>
      <w:jc w:val="center"/>
      <w:rPr>
        <w:rFonts w:ascii="Arial Narrow" w:hAnsi="Arial Narrow" w:cs="Arial Narrow"/>
        <w:b/>
        <w:bCs/>
        <w:color w:val="808080"/>
      </w:rPr>
    </w:pPr>
    <w:r>
      <w:rPr>
        <w:rFonts w:ascii="Arial Narrow" w:hAnsi="Arial Narrow" w:cs="Arial Narrow"/>
        <w:b/>
        <w:bCs/>
        <w:color w:val="808080"/>
      </w:rPr>
      <w:t>DOKUMENTACE ZMĚNY STAVBY PŘED DOKONČENÍM</w:t>
    </w:r>
  </w:p>
  <w:bookmarkEnd w:id="6"/>
  <w:p w14:paraId="05E4BB01" w14:textId="77777777" w:rsidR="004929BE" w:rsidRDefault="004929B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012A7"/>
    <w:multiLevelType w:val="hybridMultilevel"/>
    <w:tmpl w:val="992CCCA8"/>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62830FFD"/>
    <w:multiLevelType w:val="multilevel"/>
    <w:tmpl w:val="B504ED90"/>
    <w:lvl w:ilvl="0">
      <w:start w:val="1"/>
      <w:numFmt w:val="decimal"/>
      <w:lvlText w:val="D.%1."/>
      <w:lvlJc w:val="left"/>
      <w:pPr>
        <w:tabs>
          <w:tab w:val="num" w:pos="360"/>
        </w:tabs>
        <w:ind w:left="360" w:hanging="360"/>
      </w:pPr>
      <w:rPr>
        <w:rFonts w:ascii="Arial Narrow" w:hAnsi="Arial Narrow" w:cs="Times New Roman" w:hint="default"/>
      </w:rPr>
    </w:lvl>
    <w:lvl w:ilvl="1">
      <w:start w:val="1"/>
      <w:numFmt w:val="decimal"/>
      <w:lvlText w:val="D.%2.1."/>
      <w:lvlJc w:val="left"/>
      <w:pPr>
        <w:tabs>
          <w:tab w:val="num" w:pos="792"/>
        </w:tabs>
        <w:ind w:left="792" w:hanging="432"/>
      </w:pPr>
      <w:rPr>
        <w:rFonts w:ascii="Times New Roman" w:hAnsi="Times New Roman" w:cs="Times New Roman" w:hint="default"/>
      </w:rPr>
    </w:lvl>
    <w:lvl w:ilvl="2">
      <w:start w:val="1"/>
      <w:numFmt w:val="lowerLetter"/>
      <w:lvlText w:val="%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32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2" w15:restartNumberingAfterBreak="0">
    <w:nsid w:val="650F4C84"/>
    <w:multiLevelType w:val="multilevel"/>
    <w:tmpl w:val="04050025"/>
    <w:lvl w:ilvl="0">
      <w:start w:val="1"/>
      <w:numFmt w:val="decimal"/>
      <w:pStyle w:val="Nadpis1"/>
      <w:lvlText w:val="%1"/>
      <w:lvlJc w:val="left"/>
      <w:pPr>
        <w:ind w:left="432" w:hanging="432"/>
      </w:pPr>
      <w:rPr>
        <w:rFonts w:ascii="Times New Roman" w:hAnsi="Times New Roman" w:cs="Times New Roman"/>
      </w:rPr>
    </w:lvl>
    <w:lvl w:ilvl="1">
      <w:start w:val="1"/>
      <w:numFmt w:val="decimal"/>
      <w:pStyle w:val="Nadpis2"/>
      <w:lvlText w:val="%1.%2"/>
      <w:lvlJc w:val="left"/>
      <w:pPr>
        <w:ind w:left="576" w:hanging="576"/>
      </w:pPr>
      <w:rPr>
        <w:rFonts w:ascii="Times New Roman" w:hAnsi="Times New Roman" w:cs="Times New Roman"/>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3" w15:restartNumberingAfterBreak="0">
    <w:nsid w:val="67E87928"/>
    <w:multiLevelType w:val="hybridMultilevel"/>
    <w:tmpl w:val="89D43610"/>
    <w:lvl w:ilvl="0" w:tplc="0405000F">
      <w:start w:val="1"/>
      <w:numFmt w:val="decimal"/>
      <w:lvlText w:val="%1."/>
      <w:lvlJc w:val="left"/>
      <w:pPr>
        <w:tabs>
          <w:tab w:val="num" w:pos="1429"/>
        </w:tabs>
        <w:ind w:left="1429" w:hanging="360"/>
      </w:pPr>
      <w:rPr>
        <w:rFonts w:ascii="Times New Roman" w:hAnsi="Times New Roman" w:cs="Times New Roman"/>
      </w:rPr>
    </w:lvl>
    <w:lvl w:ilvl="1" w:tplc="04050019">
      <w:start w:val="1"/>
      <w:numFmt w:val="lowerLetter"/>
      <w:lvlText w:val="%2."/>
      <w:lvlJc w:val="left"/>
      <w:pPr>
        <w:tabs>
          <w:tab w:val="num" w:pos="2149"/>
        </w:tabs>
        <w:ind w:left="2149" w:hanging="360"/>
      </w:pPr>
      <w:rPr>
        <w:rFonts w:ascii="Times New Roman" w:hAnsi="Times New Roman" w:cs="Times New Roman"/>
      </w:rPr>
    </w:lvl>
    <w:lvl w:ilvl="2" w:tplc="0405001B">
      <w:start w:val="1"/>
      <w:numFmt w:val="lowerRoman"/>
      <w:lvlText w:val="%3."/>
      <w:lvlJc w:val="right"/>
      <w:pPr>
        <w:tabs>
          <w:tab w:val="num" w:pos="2869"/>
        </w:tabs>
        <w:ind w:left="2869" w:hanging="180"/>
      </w:pPr>
      <w:rPr>
        <w:rFonts w:ascii="Times New Roman" w:hAnsi="Times New Roman" w:cs="Times New Roman"/>
      </w:rPr>
    </w:lvl>
    <w:lvl w:ilvl="3" w:tplc="0405000F">
      <w:start w:val="1"/>
      <w:numFmt w:val="decimal"/>
      <w:lvlText w:val="%4."/>
      <w:lvlJc w:val="left"/>
      <w:pPr>
        <w:tabs>
          <w:tab w:val="num" w:pos="3589"/>
        </w:tabs>
        <w:ind w:left="3589" w:hanging="360"/>
      </w:pPr>
      <w:rPr>
        <w:rFonts w:ascii="Times New Roman" w:hAnsi="Times New Roman" w:cs="Times New Roman"/>
      </w:rPr>
    </w:lvl>
    <w:lvl w:ilvl="4" w:tplc="04050019">
      <w:start w:val="1"/>
      <w:numFmt w:val="lowerLetter"/>
      <w:lvlText w:val="%5."/>
      <w:lvlJc w:val="left"/>
      <w:pPr>
        <w:tabs>
          <w:tab w:val="num" w:pos="4309"/>
        </w:tabs>
        <w:ind w:left="4309" w:hanging="360"/>
      </w:pPr>
      <w:rPr>
        <w:rFonts w:ascii="Times New Roman" w:hAnsi="Times New Roman" w:cs="Times New Roman"/>
      </w:rPr>
    </w:lvl>
    <w:lvl w:ilvl="5" w:tplc="0405001B">
      <w:start w:val="1"/>
      <w:numFmt w:val="lowerRoman"/>
      <w:lvlText w:val="%6."/>
      <w:lvlJc w:val="right"/>
      <w:pPr>
        <w:tabs>
          <w:tab w:val="num" w:pos="5029"/>
        </w:tabs>
        <w:ind w:left="5029" w:hanging="180"/>
      </w:pPr>
      <w:rPr>
        <w:rFonts w:ascii="Times New Roman" w:hAnsi="Times New Roman" w:cs="Times New Roman"/>
      </w:rPr>
    </w:lvl>
    <w:lvl w:ilvl="6" w:tplc="0405000F">
      <w:start w:val="1"/>
      <w:numFmt w:val="decimal"/>
      <w:lvlText w:val="%7."/>
      <w:lvlJc w:val="left"/>
      <w:pPr>
        <w:tabs>
          <w:tab w:val="num" w:pos="5749"/>
        </w:tabs>
        <w:ind w:left="5749" w:hanging="360"/>
      </w:pPr>
      <w:rPr>
        <w:rFonts w:ascii="Times New Roman" w:hAnsi="Times New Roman" w:cs="Times New Roman"/>
      </w:rPr>
    </w:lvl>
    <w:lvl w:ilvl="7" w:tplc="04050019">
      <w:start w:val="1"/>
      <w:numFmt w:val="lowerLetter"/>
      <w:lvlText w:val="%8."/>
      <w:lvlJc w:val="left"/>
      <w:pPr>
        <w:tabs>
          <w:tab w:val="num" w:pos="6469"/>
        </w:tabs>
        <w:ind w:left="6469" w:hanging="360"/>
      </w:pPr>
      <w:rPr>
        <w:rFonts w:ascii="Times New Roman" w:hAnsi="Times New Roman" w:cs="Times New Roman"/>
      </w:rPr>
    </w:lvl>
    <w:lvl w:ilvl="8" w:tplc="0405001B">
      <w:start w:val="1"/>
      <w:numFmt w:val="lowerRoman"/>
      <w:lvlText w:val="%9."/>
      <w:lvlJc w:val="right"/>
      <w:pPr>
        <w:tabs>
          <w:tab w:val="num" w:pos="7189"/>
        </w:tabs>
        <w:ind w:left="7189" w:hanging="180"/>
      </w:pPr>
      <w:rPr>
        <w:rFonts w:ascii="Times New Roman" w:hAnsi="Times New Roman" w:cs="Times New Roman"/>
      </w:rPr>
    </w:lvl>
  </w:abstractNum>
  <w:num w:numId="1" w16cid:durableId="1801416579">
    <w:abstractNumId w:val="1"/>
  </w:num>
  <w:num w:numId="2" w16cid:durableId="235020212">
    <w:abstractNumId w:val="2"/>
  </w:num>
  <w:num w:numId="3" w16cid:durableId="564150306">
    <w:abstractNumId w:val="0"/>
  </w:num>
  <w:num w:numId="4" w16cid:durableId="809539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929BE"/>
    <w:rsid w:val="00094F83"/>
    <w:rsid w:val="00374953"/>
    <w:rsid w:val="00375E22"/>
    <w:rsid w:val="003D4519"/>
    <w:rsid w:val="004929BE"/>
    <w:rsid w:val="005320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65F3B07B"/>
  <w15:docId w15:val="{BB899B9C-4E8B-4E49-9114-1D4EB719B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Times New Roman" w:hAnsi="Times New Roman"/>
    </w:rPr>
  </w:style>
  <w:style w:type="paragraph" w:styleId="Nadpis1">
    <w:name w:val="heading 1"/>
    <w:basedOn w:val="Normln"/>
    <w:next w:val="Normln"/>
    <w:link w:val="Nadpis1Char"/>
    <w:uiPriority w:val="99"/>
    <w:qFormat/>
    <w:pPr>
      <w:keepNext/>
      <w:keepLines/>
      <w:numPr>
        <w:numId w:val="2"/>
      </w:numPr>
      <w:spacing w:before="320"/>
      <w:outlineLvl w:val="0"/>
    </w:pPr>
    <w:rPr>
      <w:rFonts w:ascii="Calibri Light" w:hAnsi="Calibri Light" w:cs="Calibri Light"/>
      <w:sz w:val="30"/>
      <w:szCs w:val="30"/>
      <w:lang w:eastAsia="en-US"/>
    </w:rPr>
  </w:style>
  <w:style w:type="paragraph" w:styleId="Nadpis2">
    <w:name w:val="heading 2"/>
    <w:basedOn w:val="Normln"/>
    <w:next w:val="Normln"/>
    <w:link w:val="Nadpis2Char"/>
    <w:uiPriority w:val="99"/>
    <w:qFormat/>
    <w:pPr>
      <w:keepNext/>
      <w:keepLines/>
      <w:numPr>
        <w:ilvl w:val="1"/>
        <w:numId w:val="2"/>
      </w:numPr>
      <w:spacing w:before="40"/>
      <w:outlineLvl w:val="1"/>
    </w:pPr>
    <w:rPr>
      <w:rFonts w:ascii="Calibri Light" w:hAnsi="Calibri Light" w:cs="Calibri Light"/>
      <w:sz w:val="28"/>
      <w:szCs w:val="28"/>
      <w:lang w:eastAsia="en-US"/>
    </w:rPr>
  </w:style>
  <w:style w:type="paragraph" w:styleId="Nadpis3">
    <w:name w:val="heading 3"/>
    <w:basedOn w:val="Normln"/>
    <w:next w:val="Normln"/>
    <w:link w:val="Nadpis3Char"/>
    <w:uiPriority w:val="99"/>
    <w:qFormat/>
    <w:pPr>
      <w:keepNext/>
      <w:keepLines/>
      <w:numPr>
        <w:ilvl w:val="2"/>
        <w:numId w:val="2"/>
      </w:numPr>
      <w:spacing w:before="40"/>
      <w:outlineLvl w:val="2"/>
    </w:pPr>
    <w:rPr>
      <w:rFonts w:ascii="Calibri Light" w:hAnsi="Calibri Light" w:cs="Calibri Light"/>
      <w:sz w:val="26"/>
      <w:szCs w:val="26"/>
      <w:lang w:eastAsia="en-US"/>
    </w:rPr>
  </w:style>
  <w:style w:type="paragraph" w:styleId="Nadpis4">
    <w:name w:val="heading 4"/>
    <w:basedOn w:val="Normln"/>
    <w:next w:val="Normln"/>
    <w:link w:val="Nadpis4Char"/>
    <w:uiPriority w:val="99"/>
    <w:qFormat/>
    <w:pPr>
      <w:keepNext/>
      <w:keepLines/>
      <w:numPr>
        <w:ilvl w:val="3"/>
        <w:numId w:val="2"/>
      </w:numPr>
      <w:spacing w:before="40" w:line="259" w:lineRule="auto"/>
      <w:outlineLvl w:val="3"/>
    </w:pPr>
    <w:rPr>
      <w:rFonts w:ascii="Calibri Light" w:hAnsi="Calibri Light" w:cs="Calibri Light"/>
      <w:i/>
      <w:iCs/>
      <w:sz w:val="25"/>
      <w:szCs w:val="25"/>
      <w:lang w:eastAsia="en-US"/>
    </w:rPr>
  </w:style>
  <w:style w:type="paragraph" w:styleId="Nadpis5">
    <w:name w:val="heading 5"/>
    <w:basedOn w:val="Normln"/>
    <w:next w:val="Normln"/>
    <w:link w:val="Nadpis5Char"/>
    <w:uiPriority w:val="99"/>
    <w:qFormat/>
    <w:pPr>
      <w:keepNext/>
      <w:keepLines/>
      <w:numPr>
        <w:ilvl w:val="4"/>
        <w:numId w:val="2"/>
      </w:numPr>
      <w:spacing w:before="40" w:line="259" w:lineRule="auto"/>
      <w:outlineLvl w:val="4"/>
    </w:pPr>
    <w:rPr>
      <w:rFonts w:ascii="Calibri Light" w:hAnsi="Calibri Light" w:cs="Calibri Light"/>
      <w:i/>
      <w:iCs/>
      <w:sz w:val="24"/>
      <w:szCs w:val="24"/>
      <w:lang w:eastAsia="en-US"/>
    </w:rPr>
  </w:style>
  <w:style w:type="paragraph" w:styleId="Nadpis6">
    <w:name w:val="heading 6"/>
    <w:basedOn w:val="Normln"/>
    <w:next w:val="Normln"/>
    <w:link w:val="Nadpis6Char"/>
    <w:uiPriority w:val="99"/>
    <w:qFormat/>
    <w:pPr>
      <w:keepNext/>
      <w:keepLines/>
      <w:numPr>
        <w:ilvl w:val="5"/>
        <w:numId w:val="2"/>
      </w:numPr>
      <w:spacing w:before="40" w:line="259" w:lineRule="auto"/>
      <w:outlineLvl w:val="5"/>
    </w:pPr>
    <w:rPr>
      <w:rFonts w:ascii="Calibri Light" w:hAnsi="Calibri Light" w:cs="Calibri Light"/>
      <w:i/>
      <w:iCs/>
      <w:sz w:val="23"/>
      <w:szCs w:val="23"/>
      <w:lang w:eastAsia="en-US"/>
    </w:rPr>
  </w:style>
  <w:style w:type="paragraph" w:styleId="Nadpis7">
    <w:name w:val="heading 7"/>
    <w:basedOn w:val="Normln"/>
    <w:next w:val="Normln"/>
    <w:link w:val="Nadpis7Char"/>
    <w:uiPriority w:val="99"/>
    <w:qFormat/>
    <w:pPr>
      <w:keepNext/>
      <w:keepLines/>
      <w:numPr>
        <w:ilvl w:val="6"/>
        <w:numId w:val="2"/>
      </w:numPr>
      <w:spacing w:before="40" w:line="259" w:lineRule="auto"/>
      <w:outlineLvl w:val="6"/>
    </w:pPr>
    <w:rPr>
      <w:rFonts w:ascii="Calibri Light" w:hAnsi="Calibri Light" w:cs="Calibri Light"/>
      <w:sz w:val="22"/>
      <w:szCs w:val="22"/>
      <w:lang w:eastAsia="en-US"/>
    </w:rPr>
  </w:style>
  <w:style w:type="paragraph" w:styleId="Nadpis8">
    <w:name w:val="heading 8"/>
    <w:basedOn w:val="Normln"/>
    <w:next w:val="Normln"/>
    <w:link w:val="Nadpis8Char"/>
    <w:uiPriority w:val="99"/>
    <w:qFormat/>
    <w:pPr>
      <w:keepNext/>
      <w:keepLines/>
      <w:numPr>
        <w:ilvl w:val="7"/>
        <w:numId w:val="2"/>
      </w:numPr>
      <w:spacing w:before="40" w:line="259" w:lineRule="auto"/>
      <w:outlineLvl w:val="7"/>
    </w:pPr>
    <w:rPr>
      <w:rFonts w:ascii="Calibri Light" w:hAnsi="Calibri Light" w:cs="Calibri Light"/>
      <w:sz w:val="21"/>
      <w:szCs w:val="21"/>
      <w:lang w:eastAsia="en-US"/>
    </w:rPr>
  </w:style>
  <w:style w:type="paragraph" w:styleId="Nadpis9">
    <w:name w:val="heading 9"/>
    <w:basedOn w:val="Normln"/>
    <w:next w:val="Normln"/>
    <w:link w:val="Nadpis9Char"/>
    <w:uiPriority w:val="99"/>
    <w:qFormat/>
    <w:pPr>
      <w:keepNext/>
      <w:keepLines/>
      <w:numPr>
        <w:ilvl w:val="8"/>
        <w:numId w:val="2"/>
      </w:numPr>
      <w:spacing w:before="40" w:line="259" w:lineRule="auto"/>
      <w:outlineLvl w:val="8"/>
    </w:pPr>
    <w:rPr>
      <w:rFonts w:ascii="Calibri Light" w:hAnsi="Calibri Light" w:cs="Calibri Light"/>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Pr>
      <w:rFonts w:ascii="Calibri Light" w:hAnsi="Calibri Light" w:cs="Calibri Light"/>
      <w:color w:val="auto"/>
      <w:sz w:val="30"/>
      <w:szCs w:val="30"/>
    </w:rPr>
  </w:style>
  <w:style w:type="character" w:customStyle="1" w:styleId="Nadpis2Char">
    <w:name w:val="Nadpis 2 Char"/>
    <w:link w:val="Nadpis2"/>
    <w:uiPriority w:val="99"/>
    <w:rPr>
      <w:rFonts w:ascii="Calibri Light" w:hAnsi="Calibri Light" w:cs="Calibri Light"/>
      <w:color w:val="auto"/>
      <w:sz w:val="28"/>
      <w:szCs w:val="28"/>
    </w:rPr>
  </w:style>
  <w:style w:type="character" w:customStyle="1" w:styleId="Nadpis3Char">
    <w:name w:val="Nadpis 3 Char"/>
    <w:link w:val="Nadpis3"/>
    <w:uiPriority w:val="99"/>
    <w:rPr>
      <w:rFonts w:ascii="Calibri Light" w:hAnsi="Calibri Light" w:cs="Calibri Light"/>
      <w:color w:val="auto"/>
      <w:sz w:val="26"/>
      <w:szCs w:val="26"/>
    </w:rPr>
  </w:style>
  <w:style w:type="character" w:customStyle="1" w:styleId="Nadpis4Char">
    <w:name w:val="Nadpis 4 Char"/>
    <w:link w:val="Nadpis4"/>
    <w:uiPriority w:val="99"/>
    <w:rPr>
      <w:rFonts w:ascii="Calibri Light" w:hAnsi="Calibri Light" w:cs="Calibri Light"/>
      <w:i/>
      <w:iCs/>
      <w:color w:val="auto"/>
      <w:sz w:val="25"/>
      <w:szCs w:val="25"/>
    </w:rPr>
  </w:style>
  <w:style w:type="character" w:customStyle="1" w:styleId="Nadpis5Char">
    <w:name w:val="Nadpis 5 Char"/>
    <w:link w:val="Nadpis5"/>
    <w:uiPriority w:val="99"/>
    <w:rPr>
      <w:rFonts w:ascii="Calibri Light" w:hAnsi="Calibri Light" w:cs="Calibri Light"/>
      <w:i/>
      <w:iCs/>
      <w:color w:val="auto"/>
      <w:sz w:val="24"/>
      <w:szCs w:val="24"/>
    </w:rPr>
  </w:style>
  <w:style w:type="character" w:customStyle="1" w:styleId="Nadpis6Char">
    <w:name w:val="Nadpis 6 Char"/>
    <w:link w:val="Nadpis6"/>
    <w:uiPriority w:val="99"/>
    <w:rPr>
      <w:rFonts w:ascii="Calibri Light" w:hAnsi="Calibri Light" w:cs="Calibri Light"/>
      <w:i/>
      <w:iCs/>
      <w:color w:val="auto"/>
      <w:sz w:val="23"/>
      <w:szCs w:val="23"/>
    </w:rPr>
  </w:style>
  <w:style w:type="character" w:customStyle="1" w:styleId="Nadpis7Char">
    <w:name w:val="Nadpis 7 Char"/>
    <w:link w:val="Nadpis7"/>
    <w:uiPriority w:val="99"/>
    <w:rPr>
      <w:rFonts w:ascii="Calibri Light" w:hAnsi="Calibri Light" w:cs="Calibri Light"/>
      <w:color w:val="auto"/>
    </w:rPr>
  </w:style>
  <w:style w:type="character" w:customStyle="1" w:styleId="Nadpis8Char">
    <w:name w:val="Nadpis 8 Char"/>
    <w:link w:val="Nadpis8"/>
    <w:uiPriority w:val="99"/>
    <w:rPr>
      <w:rFonts w:ascii="Calibri Light" w:hAnsi="Calibri Light" w:cs="Calibri Light"/>
      <w:color w:val="auto"/>
      <w:sz w:val="21"/>
      <w:szCs w:val="21"/>
    </w:rPr>
  </w:style>
  <w:style w:type="character" w:customStyle="1" w:styleId="Nadpis9Char">
    <w:name w:val="Nadpis 9 Char"/>
    <w:link w:val="Nadpis9"/>
    <w:uiPriority w:val="99"/>
    <w:rPr>
      <w:rFonts w:ascii="Calibri Light" w:hAnsi="Calibri Light" w:cs="Calibri Light"/>
      <w:color w:val="auto"/>
    </w:rPr>
  </w:style>
  <w:style w:type="paragraph" w:styleId="Zhlav">
    <w:name w:val="header"/>
    <w:basedOn w:val="Normln"/>
    <w:link w:val="ZhlavChar"/>
    <w:uiPriority w:val="99"/>
    <w:pPr>
      <w:tabs>
        <w:tab w:val="center" w:pos="4536"/>
        <w:tab w:val="right" w:pos="9072"/>
      </w:tabs>
    </w:pPr>
  </w:style>
  <w:style w:type="character" w:customStyle="1" w:styleId="ZhlavChar">
    <w:name w:val="Záhlaví Char"/>
    <w:link w:val="Zhlav"/>
    <w:uiPriority w:val="99"/>
    <w:rPr>
      <w:rFonts w:ascii="Times New Roman" w:hAnsi="Times New Roman" w:cs="Times New Roman"/>
      <w:sz w:val="20"/>
      <w:szCs w:val="20"/>
      <w:lang w:eastAsia="cs-CZ"/>
    </w:rPr>
  </w:style>
  <w:style w:type="paragraph" w:styleId="Obsah1">
    <w:name w:val="toc 1"/>
    <w:basedOn w:val="Normln"/>
    <w:next w:val="Normln"/>
    <w:autoRedefine/>
    <w:uiPriority w:val="99"/>
    <w:rsid w:val="00375E22"/>
    <w:pPr>
      <w:tabs>
        <w:tab w:val="left" w:pos="851"/>
        <w:tab w:val="right" w:pos="9356"/>
      </w:tabs>
      <w:spacing w:before="60"/>
      <w:jc w:val="both"/>
    </w:pPr>
    <w:rPr>
      <w:rFonts w:ascii="Arial Narrow" w:hAnsi="Arial Narrow" w:cs="Arial Narrow"/>
      <w:b/>
      <w:bCs/>
      <w:noProof/>
      <w:sz w:val="22"/>
      <w:szCs w:val="22"/>
    </w:rPr>
  </w:style>
  <w:style w:type="character" w:styleId="Hypertextovodkaz">
    <w:name w:val="Hyperlink"/>
    <w:uiPriority w:val="99"/>
    <w:rPr>
      <w:rFonts w:ascii="Times New Roman" w:hAnsi="Times New Roman" w:cs="Times New Roman"/>
      <w:color w:val="0000FF"/>
      <w:u w:val="single"/>
    </w:rPr>
  </w:style>
  <w:style w:type="paragraph" w:styleId="Zpat">
    <w:name w:val="footer"/>
    <w:basedOn w:val="Normln"/>
    <w:link w:val="ZpatChar"/>
    <w:uiPriority w:val="99"/>
    <w:pPr>
      <w:tabs>
        <w:tab w:val="center" w:pos="4536"/>
        <w:tab w:val="right" w:pos="9072"/>
      </w:tabs>
    </w:pPr>
  </w:style>
  <w:style w:type="character" w:customStyle="1" w:styleId="ZpatChar">
    <w:name w:val="Zápatí Char"/>
    <w:link w:val="Zpat"/>
    <w:uiPriority w:val="99"/>
    <w:rPr>
      <w:rFonts w:ascii="Times New Roman" w:hAnsi="Times New Roman" w:cs="Times New Roman"/>
      <w:sz w:val="20"/>
      <w:szCs w:val="20"/>
      <w:lang w:eastAsia="cs-CZ"/>
    </w:rPr>
  </w:style>
  <w:style w:type="paragraph" w:customStyle="1" w:styleId="Default">
    <w:name w:val="Default"/>
    <w:uiPriority w:val="99"/>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2939</TotalTime>
  <Pages>6</Pages>
  <Words>1777</Words>
  <Characters>10488</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Blanka Krösslová</dc:creator>
  <cp:keywords/>
  <dc:description/>
  <cp:lastModifiedBy>Ing. Blanka Krösslová</cp:lastModifiedBy>
  <cp:revision>15</cp:revision>
  <cp:lastPrinted>2022-07-29T11:05:00Z</cp:lastPrinted>
  <dcterms:created xsi:type="dcterms:W3CDTF">2022-07-27T07:52:00Z</dcterms:created>
  <dcterms:modified xsi:type="dcterms:W3CDTF">2022-08-01T07:13:00Z</dcterms:modified>
</cp:coreProperties>
</file>