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DF64" w14:textId="77777777" w:rsidR="005401F5" w:rsidRPr="005401F5" w:rsidRDefault="001E11B2" w:rsidP="005401F5">
      <w:pPr>
        <w:pStyle w:val="Nadpis1"/>
        <w:shd w:val="clear" w:color="auto" w:fill="E0E0E0"/>
        <w:rPr>
          <w:kern w:val="28"/>
        </w:rPr>
      </w:pPr>
      <w:r>
        <w:rPr>
          <w:kern w:val="28"/>
        </w:rPr>
        <w:t>Souhrnné informace k pojistnému programu</w:t>
      </w:r>
    </w:p>
    <w:p w14:paraId="1A60ACF6" w14:textId="77777777" w:rsidR="00E5547E" w:rsidRDefault="00E5547E" w:rsidP="00CB7736">
      <w:pPr>
        <w:pStyle w:val="Nadpis2"/>
        <w:numPr>
          <w:ilvl w:val="0"/>
          <w:numId w:val="2"/>
        </w:numPr>
        <w:rPr>
          <w:sz w:val="32"/>
        </w:rPr>
      </w:pPr>
      <w:r>
        <w:rPr>
          <w:sz w:val="32"/>
        </w:rPr>
        <w:t>Základní informace</w:t>
      </w:r>
    </w:p>
    <w:p w14:paraId="09D82499" w14:textId="77777777" w:rsidR="00E5547E" w:rsidRPr="00E5547E" w:rsidRDefault="00E5547E" w:rsidP="00E5547E">
      <w:pPr>
        <w:keepNext/>
        <w:numPr>
          <w:ilvl w:val="1"/>
          <w:numId w:val="11"/>
        </w:numPr>
        <w:spacing w:before="240" w:after="60"/>
        <w:ind w:left="576" w:hanging="576"/>
        <w:jc w:val="both"/>
        <w:outlineLvl w:val="1"/>
        <w:rPr>
          <w:rFonts w:ascii="Arial" w:hAnsi="Arial" w:cs="Arial"/>
          <w:b/>
          <w:bCs/>
          <w:i/>
          <w:iCs/>
          <w:sz w:val="22"/>
          <w:szCs w:val="22"/>
        </w:rPr>
      </w:pPr>
      <w:r w:rsidRPr="00247E9C">
        <w:rPr>
          <w:rFonts w:ascii="Arial" w:hAnsi="Arial" w:cs="Arial"/>
          <w:b/>
          <w:bCs/>
          <w:i/>
          <w:iCs/>
          <w:sz w:val="22"/>
          <w:szCs w:val="22"/>
        </w:rPr>
        <w:t xml:space="preserve">1.1. </w:t>
      </w:r>
      <w:r w:rsidRPr="00E5547E">
        <w:rPr>
          <w:rFonts w:ascii="Arial" w:hAnsi="Arial" w:cs="Arial"/>
          <w:b/>
          <w:bCs/>
          <w:i/>
          <w:iCs/>
          <w:sz w:val="22"/>
          <w:szCs w:val="22"/>
        </w:rPr>
        <w:t>Pojistník / pojištěný / oprávněná osoba:</w:t>
      </w:r>
    </w:p>
    <w:p w14:paraId="4400C325" w14:textId="77777777" w:rsidR="00E5547E" w:rsidRPr="00E5547E" w:rsidRDefault="00E5547E" w:rsidP="00E5547E">
      <w:pPr>
        <w:widowControl w:val="0"/>
        <w:autoSpaceDE w:val="0"/>
        <w:autoSpaceDN w:val="0"/>
        <w:adjustRightInd w:val="0"/>
        <w:spacing w:line="288" w:lineRule="atLeast"/>
        <w:ind w:firstLine="576"/>
        <w:jc w:val="both"/>
        <w:rPr>
          <w:rFonts w:ascii="Arial" w:hAnsi="Arial" w:cs="Arial"/>
          <w:sz w:val="20"/>
          <w:szCs w:val="20"/>
        </w:rPr>
      </w:pPr>
      <w:r w:rsidRPr="00E5547E">
        <w:rPr>
          <w:rFonts w:ascii="Arial" w:hAnsi="Arial" w:cs="Arial"/>
          <w:sz w:val="20"/>
          <w:szCs w:val="20"/>
        </w:rPr>
        <w:t xml:space="preserve">Městská část Praha </w:t>
      </w:r>
      <w:r w:rsidRPr="00247E9C">
        <w:rPr>
          <w:rFonts w:ascii="Arial" w:hAnsi="Arial" w:cs="Arial"/>
          <w:sz w:val="20"/>
          <w:szCs w:val="20"/>
        </w:rPr>
        <w:t>17</w:t>
      </w:r>
    </w:p>
    <w:p w14:paraId="6C4B39CE" w14:textId="7E193EAD" w:rsidR="00E5547E" w:rsidRPr="00E5547E" w:rsidRDefault="00E5547E" w:rsidP="00E5547E">
      <w:pPr>
        <w:widowControl w:val="0"/>
        <w:autoSpaceDE w:val="0"/>
        <w:autoSpaceDN w:val="0"/>
        <w:adjustRightInd w:val="0"/>
        <w:spacing w:line="288" w:lineRule="atLeast"/>
        <w:ind w:firstLine="576"/>
        <w:jc w:val="both"/>
        <w:rPr>
          <w:rFonts w:ascii="Arial" w:hAnsi="Arial" w:cs="Arial"/>
          <w:sz w:val="20"/>
          <w:szCs w:val="20"/>
        </w:rPr>
      </w:pPr>
      <w:r w:rsidRPr="00E5547E">
        <w:rPr>
          <w:rFonts w:ascii="Arial" w:hAnsi="Arial" w:cs="Arial"/>
          <w:sz w:val="20"/>
          <w:szCs w:val="20"/>
        </w:rPr>
        <w:t xml:space="preserve">Zastoupená: starostkou </w:t>
      </w:r>
      <w:r w:rsidR="00584C7F" w:rsidRPr="00584C7F">
        <w:rPr>
          <w:rFonts w:ascii="Arial" w:hAnsi="Arial" w:cs="Arial"/>
          <w:sz w:val="20"/>
          <w:szCs w:val="20"/>
        </w:rPr>
        <w:t>Mgr. Alena Kopejtkov</w:t>
      </w:r>
      <w:r w:rsidR="00584C7F">
        <w:rPr>
          <w:rFonts w:ascii="Arial" w:hAnsi="Arial" w:cs="Arial"/>
          <w:sz w:val="20"/>
          <w:szCs w:val="20"/>
        </w:rPr>
        <w:t>ou</w:t>
      </w:r>
    </w:p>
    <w:p w14:paraId="1CF58C19" w14:textId="22CC541D" w:rsidR="00E5547E" w:rsidRPr="00E5547E" w:rsidRDefault="00E5547E" w:rsidP="00E5547E">
      <w:pPr>
        <w:widowControl w:val="0"/>
        <w:autoSpaceDE w:val="0"/>
        <w:autoSpaceDN w:val="0"/>
        <w:adjustRightInd w:val="0"/>
        <w:spacing w:line="288" w:lineRule="atLeast"/>
        <w:ind w:firstLine="576"/>
        <w:jc w:val="both"/>
        <w:rPr>
          <w:rFonts w:ascii="Arial" w:hAnsi="Arial" w:cs="Arial"/>
          <w:sz w:val="20"/>
          <w:szCs w:val="20"/>
        </w:rPr>
      </w:pPr>
      <w:r w:rsidRPr="00E5547E">
        <w:rPr>
          <w:rFonts w:ascii="Arial" w:hAnsi="Arial" w:cs="Arial"/>
          <w:sz w:val="20"/>
          <w:szCs w:val="20"/>
        </w:rPr>
        <w:t xml:space="preserve">Sídlo: </w:t>
      </w:r>
      <w:r w:rsidRPr="00247E9C">
        <w:rPr>
          <w:rFonts w:ascii="Arial" w:hAnsi="Arial" w:cs="Arial"/>
          <w:sz w:val="20"/>
          <w:szCs w:val="20"/>
        </w:rPr>
        <w:t>Žalanského 291/12b, 163 00 Praha</w:t>
      </w:r>
      <w:r w:rsidR="007C70D7" w:rsidRPr="00247E9C">
        <w:rPr>
          <w:rFonts w:ascii="Arial" w:hAnsi="Arial" w:cs="Arial"/>
          <w:sz w:val="20"/>
          <w:szCs w:val="20"/>
        </w:rPr>
        <w:t>- Řepy</w:t>
      </w:r>
      <w:r w:rsidRPr="00E5547E">
        <w:rPr>
          <w:rFonts w:ascii="Arial" w:hAnsi="Arial" w:cs="Arial"/>
          <w:sz w:val="20"/>
          <w:szCs w:val="20"/>
        </w:rPr>
        <w:t xml:space="preserve"> </w:t>
      </w:r>
    </w:p>
    <w:p w14:paraId="130C6317" w14:textId="77777777" w:rsidR="00E5547E" w:rsidRPr="00E5547E" w:rsidRDefault="00E5547E" w:rsidP="00E5547E">
      <w:pPr>
        <w:widowControl w:val="0"/>
        <w:autoSpaceDE w:val="0"/>
        <w:autoSpaceDN w:val="0"/>
        <w:adjustRightInd w:val="0"/>
        <w:spacing w:line="288" w:lineRule="atLeast"/>
        <w:ind w:firstLine="576"/>
        <w:jc w:val="both"/>
        <w:rPr>
          <w:rFonts w:ascii="Arial" w:hAnsi="Arial" w:cs="Arial"/>
          <w:sz w:val="20"/>
          <w:szCs w:val="20"/>
        </w:rPr>
      </w:pPr>
      <w:r w:rsidRPr="00E5547E">
        <w:rPr>
          <w:rFonts w:ascii="Arial" w:hAnsi="Arial" w:cs="Arial"/>
          <w:sz w:val="20"/>
          <w:szCs w:val="20"/>
        </w:rPr>
        <w:t>IČ: 00</w:t>
      </w:r>
      <w:r w:rsidRPr="00247E9C">
        <w:rPr>
          <w:rFonts w:ascii="Arial" w:hAnsi="Arial" w:cs="Arial"/>
          <w:sz w:val="20"/>
          <w:szCs w:val="20"/>
        </w:rPr>
        <w:t>231223</w:t>
      </w:r>
    </w:p>
    <w:p w14:paraId="5D42322F" w14:textId="77777777" w:rsidR="00E5547E" w:rsidRPr="00E5547E" w:rsidRDefault="00E5547E" w:rsidP="00E5547E">
      <w:pPr>
        <w:widowControl w:val="0"/>
        <w:autoSpaceDE w:val="0"/>
        <w:autoSpaceDN w:val="0"/>
        <w:adjustRightInd w:val="0"/>
        <w:spacing w:line="288" w:lineRule="atLeast"/>
        <w:ind w:firstLine="576"/>
        <w:jc w:val="both"/>
        <w:rPr>
          <w:rFonts w:ascii="Arial" w:hAnsi="Arial" w:cs="Arial"/>
          <w:sz w:val="20"/>
          <w:szCs w:val="20"/>
        </w:rPr>
      </w:pPr>
      <w:hyperlink r:id="rId7" w:history="1">
        <w:r w:rsidRPr="00E5547E">
          <w:rPr>
            <w:rStyle w:val="Hypertextovodkaz"/>
            <w:rFonts w:ascii="Arial" w:hAnsi="Arial" w:cs="Arial"/>
            <w:sz w:val="20"/>
            <w:szCs w:val="20"/>
          </w:rPr>
          <w:t>www.praha</w:t>
        </w:r>
        <w:r w:rsidRPr="00247E9C">
          <w:rPr>
            <w:rStyle w:val="Hypertextovodkaz"/>
            <w:rFonts w:ascii="Arial" w:hAnsi="Arial" w:cs="Arial"/>
            <w:sz w:val="20"/>
            <w:szCs w:val="20"/>
          </w:rPr>
          <w:t>17</w:t>
        </w:r>
        <w:r w:rsidRPr="00E5547E">
          <w:rPr>
            <w:rStyle w:val="Hypertextovodkaz"/>
            <w:rFonts w:ascii="Arial" w:hAnsi="Arial" w:cs="Arial"/>
            <w:sz w:val="20"/>
            <w:szCs w:val="20"/>
          </w:rPr>
          <w:t>.cz</w:t>
        </w:r>
      </w:hyperlink>
    </w:p>
    <w:p w14:paraId="4F8C2431" w14:textId="77777777" w:rsidR="00E5547E" w:rsidRPr="00E5547E" w:rsidRDefault="00E5547E" w:rsidP="00E5547E">
      <w:pPr>
        <w:keepNext/>
        <w:numPr>
          <w:ilvl w:val="1"/>
          <w:numId w:val="11"/>
        </w:numPr>
        <w:spacing w:before="240" w:after="60"/>
        <w:ind w:left="576" w:hanging="576"/>
        <w:jc w:val="both"/>
        <w:outlineLvl w:val="1"/>
        <w:rPr>
          <w:rFonts w:ascii="Arial" w:hAnsi="Arial" w:cs="Arial"/>
          <w:b/>
          <w:bCs/>
          <w:i/>
          <w:iCs/>
          <w:sz w:val="22"/>
          <w:szCs w:val="22"/>
        </w:rPr>
      </w:pPr>
      <w:r w:rsidRPr="00247E9C">
        <w:rPr>
          <w:rFonts w:ascii="Arial" w:hAnsi="Arial" w:cs="Arial"/>
          <w:b/>
          <w:bCs/>
          <w:i/>
          <w:iCs/>
          <w:sz w:val="22"/>
          <w:szCs w:val="22"/>
        </w:rPr>
        <w:t>1.2.</w:t>
      </w:r>
      <w:r w:rsidRPr="00E5547E">
        <w:rPr>
          <w:rFonts w:ascii="Arial" w:hAnsi="Arial" w:cs="Arial"/>
          <w:b/>
          <w:bCs/>
          <w:i/>
          <w:iCs/>
          <w:sz w:val="22"/>
          <w:szCs w:val="22"/>
        </w:rPr>
        <w:t>Pojištěný / oprávněná osoba:</w:t>
      </w:r>
    </w:p>
    <w:p w14:paraId="4E5553F3" w14:textId="6EF91D88" w:rsidR="00E5547E" w:rsidRPr="00E5547E" w:rsidRDefault="008B3BCD" w:rsidP="00E5547E">
      <w:pPr>
        <w:widowControl w:val="0"/>
        <w:autoSpaceDE w:val="0"/>
        <w:autoSpaceDN w:val="0"/>
        <w:adjustRightInd w:val="0"/>
        <w:spacing w:line="288" w:lineRule="atLeast"/>
        <w:ind w:left="576"/>
        <w:jc w:val="both"/>
        <w:rPr>
          <w:rFonts w:ascii="Arial" w:hAnsi="Arial" w:cs="Arial"/>
          <w:bCs/>
          <w:color w:val="FF0000"/>
          <w:sz w:val="20"/>
          <w:szCs w:val="20"/>
        </w:rPr>
      </w:pPr>
      <w:r>
        <w:rPr>
          <w:rFonts w:ascii="Arial" w:hAnsi="Arial" w:cs="Arial"/>
          <w:bCs/>
          <w:sz w:val="20"/>
          <w:szCs w:val="20"/>
        </w:rPr>
        <w:t>M</w:t>
      </w:r>
      <w:r w:rsidR="00E5547E" w:rsidRPr="00E5547E">
        <w:rPr>
          <w:rFonts w:ascii="Arial" w:hAnsi="Arial" w:cs="Arial"/>
          <w:bCs/>
          <w:sz w:val="20"/>
          <w:szCs w:val="20"/>
        </w:rPr>
        <w:t xml:space="preserve">ěstská část Praha </w:t>
      </w:r>
      <w:r w:rsidR="00E5547E" w:rsidRPr="00247E9C">
        <w:rPr>
          <w:rFonts w:ascii="Arial" w:hAnsi="Arial" w:cs="Arial"/>
          <w:bCs/>
          <w:sz w:val="20"/>
          <w:szCs w:val="20"/>
        </w:rPr>
        <w:t>17</w:t>
      </w:r>
      <w:r w:rsidR="00E5547E" w:rsidRPr="00E5547E">
        <w:rPr>
          <w:rFonts w:ascii="Arial" w:hAnsi="Arial" w:cs="Arial"/>
          <w:bCs/>
          <w:sz w:val="20"/>
          <w:szCs w:val="20"/>
        </w:rPr>
        <w:t xml:space="preserve"> </w:t>
      </w:r>
    </w:p>
    <w:p w14:paraId="3A827D8D" w14:textId="1A5A8C75" w:rsidR="00E5547E" w:rsidRPr="00E5547E" w:rsidRDefault="00E5547E" w:rsidP="00E5547E">
      <w:pPr>
        <w:widowControl w:val="0"/>
        <w:autoSpaceDE w:val="0"/>
        <w:autoSpaceDN w:val="0"/>
        <w:adjustRightInd w:val="0"/>
        <w:spacing w:before="240" w:line="288" w:lineRule="atLeast"/>
        <w:ind w:left="576"/>
        <w:jc w:val="both"/>
        <w:rPr>
          <w:rFonts w:ascii="Arial" w:hAnsi="Arial" w:cs="Arial"/>
          <w:b/>
          <w:i/>
          <w:iCs/>
          <w:color w:val="FF0000"/>
          <w:sz w:val="22"/>
          <w:szCs w:val="22"/>
        </w:rPr>
      </w:pPr>
      <w:bookmarkStart w:id="0" w:name="_Toc92530805"/>
      <w:r w:rsidRPr="00247E9C">
        <w:rPr>
          <w:rFonts w:ascii="Arial" w:hAnsi="Arial" w:cs="Arial"/>
          <w:b/>
          <w:i/>
          <w:iCs/>
          <w:sz w:val="22"/>
          <w:szCs w:val="22"/>
        </w:rPr>
        <w:t>1.3.</w:t>
      </w:r>
      <w:r w:rsidRPr="00E5547E">
        <w:rPr>
          <w:rFonts w:ascii="Arial" w:hAnsi="Arial" w:cs="Arial"/>
          <w:b/>
          <w:i/>
          <w:iCs/>
          <w:sz w:val="22"/>
          <w:szCs w:val="22"/>
        </w:rPr>
        <w:t xml:space="preserve">Plněním veřejné zakázky je pojištění </w:t>
      </w:r>
      <w:r w:rsidR="008B3BCD">
        <w:rPr>
          <w:rFonts w:ascii="Arial" w:hAnsi="Arial" w:cs="Arial"/>
          <w:b/>
          <w:i/>
          <w:iCs/>
          <w:sz w:val="22"/>
          <w:szCs w:val="22"/>
        </w:rPr>
        <w:t>M</w:t>
      </w:r>
      <w:r w:rsidRPr="00E5547E">
        <w:rPr>
          <w:rFonts w:ascii="Arial" w:hAnsi="Arial" w:cs="Arial"/>
          <w:b/>
          <w:i/>
          <w:iCs/>
          <w:sz w:val="22"/>
          <w:szCs w:val="22"/>
        </w:rPr>
        <w:t xml:space="preserve">ěstské části Praha </w:t>
      </w:r>
      <w:r w:rsidRPr="00247E9C">
        <w:rPr>
          <w:rFonts w:ascii="Arial" w:hAnsi="Arial" w:cs="Arial"/>
          <w:b/>
          <w:i/>
          <w:iCs/>
          <w:sz w:val="22"/>
          <w:szCs w:val="22"/>
        </w:rPr>
        <w:t>17</w:t>
      </w:r>
      <w:r w:rsidRPr="00E5547E">
        <w:rPr>
          <w:rFonts w:ascii="Arial" w:hAnsi="Arial" w:cs="Arial"/>
          <w:b/>
          <w:i/>
          <w:iCs/>
          <w:sz w:val="22"/>
          <w:szCs w:val="22"/>
        </w:rPr>
        <w:t xml:space="preserve"> </w:t>
      </w:r>
    </w:p>
    <w:p w14:paraId="3B174FC2" w14:textId="53D9CDD5" w:rsidR="00E5547E" w:rsidRPr="00E5547E" w:rsidRDefault="00247E9C" w:rsidP="00247E9C">
      <w:pPr>
        <w:widowControl w:val="0"/>
        <w:autoSpaceDE w:val="0"/>
        <w:autoSpaceDN w:val="0"/>
        <w:adjustRightInd w:val="0"/>
        <w:spacing w:line="288" w:lineRule="atLeast"/>
        <w:ind w:left="360"/>
        <w:jc w:val="both"/>
        <w:rPr>
          <w:rFonts w:ascii="Arial" w:hAnsi="Arial" w:cs="Arial"/>
          <w:sz w:val="20"/>
          <w:szCs w:val="20"/>
        </w:rPr>
      </w:pPr>
      <w:r w:rsidRPr="00247E9C">
        <w:rPr>
          <w:rFonts w:ascii="Arial" w:hAnsi="Arial" w:cs="Arial"/>
          <w:sz w:val="20"/>
          <w:szCs w:val="20"/>
        </w:rPr>
        <w:t xml:space="preserve">a) </w:t>
      </w:r>
      <w:r w:rsidR="00E5547E" w:rsidRPr="00E5547E">
        <w:rPr>
          <w:rFonts w:ascii="Arial" w:hAnsi="Arial" w:cs="Arial"/>
          <w:sz w:val="20"/>
          <w:szCs w:val="20"/>
        </w:rPr>
        <w:t xml:space="preserve">pojištění majetku, tj. </w:t>
      </w:r>
      <w:r w:rsidR="008B3BCD">
        <w:rPr>
          <w:rFonts w:ascii="Arial" w:hAnsi="Arial" w:cs="Arial"/>
          <w:sz w:val="20"/>
          <w:szCs w:val="20"/>
        </w:rPr>
        <w:t>n</w:t>
      </w:r>
      <w:r w:rsidR="008B3BCD" w:rsidRPr="00E5547E">
        <w:rPr>
          <w:rFonts w:ascii="Arial" w:hAnsi="Arial" w:cs="Arial"/>
          <w:sz w:val="20"/>
          <w:szCs w:val="20"/>
        </w:rPr>
        <w:t>emovitých objektů, tzn. budov a stave</w:t>
      </w:r>
      <w:r w:rsidR="008B3BCD">
        <w:rPr>
          <w:rFonts w:ascii="Arial" w:hAnsi="Arial" w:cs="Arial"/>
          <w:sz w:val="20"/>
          <w:szCs w:val="20"/>
        </w:rPr>
        <w:t>b</w:t>
      </w:r>
      <w:r w:rsidR="008B3BCD" w:rsidRPr="00247E9C">
        <w:rPr>
          <w:rFonts w:ascii="Arial" w:hAnsi="Arial" w:cs="Arial"/>
          <w:sz w:val="20"/>
          <w:szCs w:val="20"/>
        </w:rPr>
        <w:t>, parkovišť, hřišť apod</w:t>
      </w:r>
      <w:r w:rsidR="007C70D7">
        <w:rPr>
          <w:rFonts w:ascii="Arial" w:hAnsi="Arial" w:cs="Arial"/>
          <w:sz w:val="20"/>
          <w:szCs w:val="20"/>
        </w:rPr>
        <w:t>.</w:t>
      </w:r>
      <w:r w:rsidR="008B3BCD" w:rsidRPr="00247E9C">
        <w:rPr>
          <w:rFonts w:ascii="Arial" w:hAnsi="Arial" w:cs="Arial"/>
          <w:sz w:val="20"/>
          <w:szCs w:val="20"/>
        </w:rPr>
        <w:t xml:space="preserve"> </w:t>
      </w:r>
      <w:r w:rsidR="008B3BCD" w:rsidRPr="00E5547E">
        <w:rPr>
          <w:rFonts w:ascii="Arial" w:hAnsi="Arial" w:cs="Arial"/>
          <w:sz w:val="20"/>
          <w:szCs w:val="20"/>
        </w:rPr>
        <w:t xml:space="preserve">včetně stavebních součástí a příslušenství </w:t>
      </w:r>
      <w:r w:rsidR="008B3BCD">
        <w:rPr>
          <w:rFonts w:ascii="Arial" w:hAnsi="Arial" w:cs="Arial"/>
          <w:sz w:val="20"/>
          <w:szCs w:val="20"/>
        </w:rPr>
        <w:t xml:space="preserve">a </w:t>
      </w:r>
      <w:r w:rsidR="00E5547E" w:rsidRPr="00E5547E">
        <w:rPr>
          <w:rFonts w:ascii="Arial" w:hAnsi="Arial" w:cs="Arial"/>
          <w:sz w:val="20"/>
          <w:szCs w:val="20"/>
        </w:rPr>
        <w:t xml:space="preserve">movitých předmětů, tzn. věcí, které lze přenést z místa na místo bez porušení jejich </w:t>
      </w:r>
      <w:r w:rsidR="007C70D7" w:rsidRPr="00E5547E">
        <w:rPr>
          <w:rFonts w:ascii="Arial" w:hAnsi="Arial" w:cs="Arial"/>
          <w:sz w:val="20"/>
          <w:szCs w:val="20"/>
        </w:rPr>
        <w:t>podstaty, které</w:t>
      </w:r>
    </w:p>
    <w:p w14:paraId="085B8E89" w14:textId="477E6FCF" w:rsidR="00E5547E" w:rsidRPr="00E5547E" w:rsidRDefault="00E5547E" w:rsidP="00E5547E">
      <w:pPr>
        <w:widowControl w:val="0"/>
        <w:numPr>
          <w:ilvl w:val="0"/>
          <w:numId w:val="13"/>
        </w:numPr>
        <w:autoSpaceDE w:val="0"/>
        <w:autoSpaceDN w:val="0"/>
        <w:adjustRightInd w:val="0"/>
        <w:spacing w:line="288" w:lineRule="atLeast"/>
        <w:jc w:val="both"/>
        <w:rPr>
          <w:rFonts w:ascii="Arial" w:hAnsi="Arial" w:cs="Arial"/>
          <w:sz w:val="20"/>
          <w:szCs w:val="20"/>
        </w:rPr>
      </w:pPr>
      <w:r w:rsidRPr="00E5547E">
        <w:rPr>
          <w:rFonts w:ascii="Arial" w:hAnsi="Arial" w:cs="Arial"/>
          <w:sz w:val="20"/>
          <w:szCs w:val="20"/>
        </w:rPr>
        <w:t xml:space="preserve">jsou svěřené do užívání </w:t>
      </w:r>
      <w:r w:rsidR="008B3BCD">
        <w:rPr>
          <w:rFonts w:ascii="Arial" w:hAnsi="Arial" w:cs="Arial"/>
          <w:sz w:val="20"/>
          <w:szCs w:val="20"/>
        </w:rPr>
        <w:t>M</w:t>
      </w:r>
      <w:r w:rsidRPr="00E5547E">
        <w:rPr>
          <w:rFonts w:ascii="Arial" w:hAnsi="Arial" w:cs="Arial"/>
          <w:sz w:val="20"/>
          <w:szCs w:val="20"/>
        </w:rPr>
        <w:t xml:space="preserve">ěstské části Praha </w:t>
      </w:r>
      <w:r w:rsidRPr="00247E9C">
        <w:rPr>
          <w:rFonts w:ascii="Arial" w:hAnsi="Arial" w:cs="Arial"/>
          <w:sz w:val="20"/>
          <w:szCs w:val="20"/>
        </w:rPr>
        <w:t>17</w:t>
      </w:r>
      <w:r w:rsidRPr="00E5547E">
        <w:rPr>
          <w:rFonts w:ascii="Arial" w:hAnsi="Arial" w:cs="Arial"/>
          <w:sz w:val="20"/>
          <w:szCs w:val="20"/>
        </w:rPr>
        <w:t>,</w:t>
      </w:r>
    </w:p>
    <w:p w14:paraId="3B77D511" w14:textId="480B7E69" w:rsidR="00E5547E" w:rsidRPr="00E5547E" w:rsidRDefault="008B3BCD" w:rsidP="00E5547E">
      <w:pPr>
        <w:widowControl w:val="0"/>
        <w:numPr>
          <w:ilvl w:val="0"/>
          <w:numId w:val="13"/>
        </w:numPr>
        <w:autoSpaceDE w:val="0"/>
        <w:autoSpaceDN w:val="0"/>
        <w:adjustRightInd w:val="0"/>
        <w:spacing w:line="288" w:lineRule="atLeast"/>
        <w:jc w:val="both"/>
        <w:rPr>
          <w:rFonts w:ascii="Arial" w:hAnsi="Arial" w:cs="Arial"/>
          <w:sz w:val="20"/>
          <w:szCs w:val="20"/>
        </w:rPr>
      </w:pPr>
      <w:r>
        <w:rPr>
          <w:rFonts w:ascii="Arial" w:hAnsi="Arial" w:cs="Arial"/>
          <w:sz w:val="20"/>
          <w:szCs w:val="20"/>
        </w:rPr>
        <w:t>M</w:t>
      </w:r>
      <w:r w:rsidR="00E5547E" w:rsidRPr="00E5547E">
        <w:rPr>
          <w:rFonts w:ascii="Arial" w:hAnsi="Arial" w:cs="Arial"/>
          <w:sz w:val="20"/>
          <w:szCs w:val="20"/>
        </w:rPr>
        <w:t xml:space="preserve">ěstská část Praha </w:t>
      </w:r>
      <w:r w:rsidR="00E5547E" w:rsidRPr="00247E9C">
        <w:rPr>
          <w:rFonts w:ascii="Arial" w:hAnsi="Arial" w:cs="Arial"/>
          <w:sz w:val="20"/>
          <w:szCs w:val="20"/>
        </w:rPr>
        <w:t>17</w:t>
      </w:r>
      <w:r w:rsidR="00E5547E" w:rsidRPr="00E5547E">
        <w:rPr>
          <w:rFonts w:ascii="Arial" w:hAnsi="Arial" w:cs="Arial"/>
          <w:sz w:val="20"/>
          <w:szCs w:val="20"/>
        </w:rPr>
        <w:t xml:space="preserve"> svěřila do užívání školám a školským zařízením zřizovaným městskou částí Praha </w:t>
      </w:r>
      <w:r w:rsidR="00E5547E" w:rsidRPr="00247E9C">
        <w:rPr>
          <w:rFonts w:ascii="Arial" w:hAnsi="Arial" w:cs="Arial"/>
          <w:sz w:val="20"/>
          <w:szCs w:val="20"/>
        </w:rPr>
        <w:t>17</w:t>
      </w:r>
      <w:r w:rsidR="00E5547E" w:rsidRPr="00E5547E">
        <w:rPr>
          <w:rFonts w:ascii="Arial" w:hAnsi="Arial" w:cs="Arial"/>
          <w:sz w:val="20"/>
          <w:szCs w:val="20"/>
        </w:rPr>
        <w:t>,</w:t>
      </w:r>
    </w:p>
    <w:p w14:paraId="7F35C8F6" w14:textId="3F4080EE" w:rsidR="00E5547E" w:rsidRPr="00E5547E" w:rsidRDefault="00E5547E" w:rsidP="00E5547E">
      <w:pPr>
        <w:widowControl w:val="0"/>
        <w:numPr>
          <w:ilvl w:val="0"/>
          <w:numId w:val="13"/>
        </w:numPr>
        <w:autoSpaceDE w:val="0"/>
        <w:autoSpaceDN w:val="0"/>
        <w:adjustRightInd w:val="0"/>
        <w:spacing w:line="288" w:lineRule="atLeast"/>
        <w:jc w:val="both"/>
        <w:rPr>
          <w:rFonts w:ascii="Arial" w:hAnsi="Arial" w:cs="Arial"/>
          <w:sz w:val="20"/>
          <w:szCs w:val="20"/>
        </w:rPr>
      </w:pPr>
      <w:r w:rsidRPr="00E5547E">
        <w:rPr>
          <w:rFonts w:ascii="Arial" w:hAnsi="Arial" w:cs="Arial"/>
          <w:sz w:val="20"/>
          <w:szCs w:val="20"/>
        </w:rPr>
        <w:t xml:space="preserve">jsou vlastním majetkem </w:t>
      </w:r>
      <w:r w:rsidR="008B3BCD">
        <w:rPr>
          <w:rFonts w:ascii="Arial" w:hAnsi="Arial" w:cs="Arial"/>
          <w:sz w:val="20"/>
          <w:szCs w:val="20"/>
        </w:rPr>
        <w:t>M</w:t>
      </w:r>
      <w:r w:rsidRPr="00E5547E">
        <w:rPr>
          <w:rFonts w:ascii="Arial" w:hAnsi="Arial" w:cs="Arial"/>
          <w:sz w:val="20"/>
          <w:szCs w:val="20"/>
        </w:rPr>
        <w:t xml:space="preserve">ěstské části Praha </w:t>
      </w:r>
      <w:r w:rsidRPr="00247E9C">
        <w:rPr>
          <w:rFonts w:ascii="Arial" w:hAnsi="Arial" w:cs="Arial"/>
          <w:sz w:val="20"/>
          <w:szCs w:val="20"/>
        </w:rPr>
        <w:t>17</w:t>
      </w:r>
      <w:r w:rsidRPr="00E5547E">
        <w:rPr>
          <w:rFonts w:ascii="Arial" w:hAnsi="Arial" w:cs="Arial"/>
          <w:sz w:val="20"/>
          <w:szCs w:val="20"/>
        </w:rPr>
        <w:t>,</w:t>
      </w:r>
    </w:p>
    <w:p w14:paraId="5EF63BA7" w14:textId="40FE2DC7" w:rsidR="00E5547E" w:rsidRPr="00F8665B" w:rsidRDefault="00E5547E" w:rsidP="00F8665B">
      <w:pPr>
        <w:pStyle w:val="Odstavecseseznamem"/>
        <w:widowControl w:val="0"/>
        <w:numPr>
          <w:ilvl w:val="0"/>
          <w:numId w:val="16"/>
        </w:numPr>
        <w:autoSpaceDE w:val="0"/>
        <w:autoSpaceDN w:val="0"/>
        <w:adjustRightInd w:val="0"/>
        <w:spacing w:before="240" w:line="288" w:lineRule="atLeast"/>
        <w:jc w:val="both"/>
        <w:rPr>
          <w:rFonts w:ascii="Arial" w:hAnsi="Arial" w:cs="Arial"/>
          <w:sz w:val="20"/>
          <w:szCs w:val="20"/>
        </w:rPr>
      </w:pPr>
      <w:r w:rsidRPr="00F8665B">
        <w:rPr>
          <w:rFonts w:ascii="Arial" w:hAnsi="Arial" w:cs="Arial"/>
          <w:sz w:val="20"/>
          <w:szCs w:val="20"/>
        </w:rPr>
        <w:t>pojištění přepravy cenností</w:t>
      </w:r>
    </w:p>
    <w:p w14:paraId="275B4CBD" w14:textId="1F4510E2" w:rsidR="00E5547E" w:rsidRPr="00F8665B" w:rsidRDefault="00E5547E" w:rsidP="00F8665B">
      <w:pPr>
        <w:pStyle w:val="Odstavecseseznamem"/>
        <w:widowControl w:val="0"/>
        <w:numPr>
          <w:ilvl w:val="0"/>
          <w:numId w:val="16"/>
        </w:numPr>
        <w:autoSpaceDE w:val="0"/>
        <w:autoSpaceDN w:val="0"/>
        <w:adjustRightInd w:val="0"/>
        <w:spacing w:before="240" w:line="288" w:lineRule="atLeast"/>
        <w:jc w:val="both"/>
        <w:rPr>
          <w:rFonts w:ascii="Arial" w:hAnsi="Arial" w:cs="Arial"/>
          <w:sz w:val="20"/>
          <w:szCs w:val="20"/>
        </w:rPr>
      </w:pPr>
      <w:r w:rsidRPr="00F8665B">
        <w:rPr>
          <w:rFonts w:ascii="Arial" w:hAnsi="Arial" w:cs="Arial"/>
          <w:sz w:val="20"/>
          <w:szCs w:val="20"/>
        </w:rPr>
        <w:t>pojištění odpovědnost</w:t>
      </w:r>
      <w:r w:rsidR="008B3BCD" w:rsidRPr="00F8665B">
        <w:rPr>
          <w:rFonts w:ascii="Arial" w:hAnsi="Arial" w:cs="Arial"/>
          <w:sz w:val="20"/>
          <w:szCs w:val="20"/>
        </w:rPr>
        <w:t>i</w:t>
      </w:r>
    </w:p>
    <w:bookmarkEnd w:id="0"/>
    <w:p w14:paraId="749BA4AE" w14:textId="77777777" w:rsidR="00E5547E" w:rsidRPr="00E5547E" w:rsidRDefault="00E5547E" w:rsidP="00E5547E">
      <w:pPr>
        <w:keepNext/>
        <w:numPr>
          <w:ilvl w:val="1"/>
          <w:numId w:val="11"/>
        </w:numPr>
        <w:spacing w:before="240" w:after="60"/>
        <w:ind w:left="576" w:hanging="576"/>
        <w:jc w:val="both"/>
        <w:outlineLvl w:val="1"/>
        <w:rPr>
          <w:rFonts w:ascii="Arial" w:hAnsi="Arial" w:cs="Arial"/>
          <w:b/>
          <w:bCs/>
          <w:i/>
          <w:iCs/>
          <w:sz w:val="28"/>
          <w:szCs w:val="28"/>
        </w:rPr>
      </w:pPr>
      <w:r w:rsidRPr="00247E9C">
        <w:rPr>
          <w:rFonts w:ascii="Arial" w:hAnsi="Arial" w:cs="Arial"/>
          <w:b/>
          <w:bCs/>
          <w:i/>
          <w:iCs/>
          <w:sz w:val="22"/>
          <w:szCs w:val="22"/>
        </w:rPr>
        <w:t xml:space="preserve">1.4. </w:t>
      </w:r>
      <w:r w:rsidRPr="00E5547E">
        <w:rPr>
          <w:rFonts w:ascii="Arial" w:hAnsi="Arial" w:cs="Arial"/>
          <w:b/>
          <w:bCs/>
          <w:i/>
          <w:iCs/>
          <w:sz w:val="22"/>
          <w:szCs w:val="22"/>
        </w:rPr>
        <w:t>Počátek pojištění</w:t>
      </w:r>
      <w:r w:rsidRPr="00E5547E">
        <w:rPr>
          <w:rFonts w:ascii="Arial" w:hAnsi="Arial" w:cs="Arial"/>
          <w:b/>
          <w:bCs/>
          <w:i/>
          <w:iCs/>
          <w:sz w:val="28"/>
          <w:szCs w:val="28"/>
        </w:rPr>
        <w:t>:</w:t>
      </w:r>
    </w:p>
    <w:p w14:paraId="1209A5FE" w14:textId="71197B8A" w:rsidR="00E5547E" w:rsidRPr="00247E9C" w:rsidRDefault="00E5547E" w:rsidP="00E5547E">
      <w:pPr>
        <w:widowControl w:val="0"/>
        <w:autoSpaceDE w:val="0"/>
        <w:autoSpaceDN w:val="0"/>
        <w:adjustRightInd w:val="0"/>
        <w:spacing w:line="288" w:lineRule="atLeast"/>
        <w:ind w:firstLine="576"/>
        <w:jc w:val="both"/>
        <w:rPr>
          <w:rFonts w:ascii="Arial" w:hAnsi="Arial" w:cs="Arial"/>
          <w:sz w:val="20"/>
          <w:szCs w:val="20"/>
        </w:rPr>
      </w:pPr>
      <w:r w:rsidRPr="00E5547E">
        <w:rPr>
          <w:rFonts w:ascii="Arial" w:hAnsi="Arial" w:cs="Arial"/>
          <w:sz w:val="20"/>
          <w:szCs w:val="20"/>
        </w:rPr>
        <w:t>1</w:t>
      </w:r>
      <w:r w:rsidRPr="00247E9C">
        <w:rPr>
          <w:rFonts w:ascii="Arial" w:hAnsi="Arial" w:cs="Arial"/>
          <w:sz w:val="20"/>
          <w:szCs w:val="20"/>
        </w:rPr>
        <w:t>2</w:t>
      </w:r>
      <w:r w:rsidRPr="00E5547E">
        <w:rPr>
          <w:rFonts w:ascii="Arial" w:hAnsi="Arial" w:cs="Arial"/>
          <w:sz w:val="20"/>
          <w:szCs w:val="20"/>
        </w:rPr>
        <w:t>.</w:t>
      </w:r>
      <w:r w:rsidRPr="00247E9C">
        <w:rPr>
          <w:rFonts w:ascii="Arial" w:hAnsi="Arial" w:cs="Arial"/>
          <w:sz w:val="20"/>
          <w:szCs w:val="20"/>
        </w:rPr>
        <w:t>06</w:t>
      </w:r>
      <w:r w:rsidRPr="00E5547E">
        <w:rPr>
          <w:rFonts w:ascii="Arial" w:hAnsi="Arial" w:cs="Arial"/>
          <w:sz w:val="20"/>
          <w:szCs w:val="20"/>
        </w:rPr>
        <w:t>.20</w:t>
      </w:r>
      <w:r w:rsidRPr="00247E9C">
        <w:rPr>
          <w:rFonts w:ascii="Arial" w:hAnsi="Arial" w:cs="Arial"/>
          <w:sz w:val="20"/>
          <w:szCs w:val="20"/>
        </w:rPr>
        <w:t>2</w:t>
      </w:r>
      <w:r w:rsidR="00F534FF">
        <w:rPr>
          <w:rFonts w:ascii="Arial" w:hAnsi="Arial" w:cs="Arial"/>
          <w:sz w:val="20"/>
          <w:szCs w:val="20"/>
        </w:rPr>
        <w:t>6</w:t>
      </w:r>
      <w:r w:rsidRPr="00247E9C">
        <w:rPr>
          <w:rFonts w:ascii="Arial" w:hAnsi="Arial" w:cs="Arial"/>
          <w:sz w:val="20"/>
          <w:szCs w:val="20"/>
        </w:rPr>
        <w:t xml:space="preserve"> </w:t>
      </w:r>
    </w:p>
    <w:p w14:paraId="1731C1A4" w14:textId="77777777" w:rsidR="00E5547E" w:rsidRDefault="00E5547E" w:rsidP="00E5547E">
      <w:pPr>
        <w:widowControl w:val="0"/>
        <w:autoSpaceDE w:val="0"/>
        <w:autoSpaceDN w:val="0"/>
        <w:adjustRightInd w:val="0"/>
        <w:spacing w:line="288" w:lineRule="atLeast"/>
        <w:ind w:firstLine="576"/>
        <w:jc w:val="both"/>
        <w:rPr>
          <w:rFonts w:ascii="Arial" w:hAnsi="Arial" w:cs="Arial"/>
          <w:i/>
          <w:iCs/>
        </w:rPr>
      </w:pPr>
    </w:p>
    <w:p w14:paraId="6ADE652D" w14:textId="77777777" w:rsidR="00E5547E" w:rsidRPr="00E5547E" w:rsidRDefault="00E5547E" w:rsidP="00E5547E">
      <w:pPr>
        <w:widowControl w:val="0"/>
        <w:autoSpaceDE w:val="0"/>
        <w:autoSpaceDN w:val="0"/>
        <w:adjustRightInd w:val="0"/>
        <w:spacing w:line="288" w:lineRule="atLeast"/>
        <w:ind w:firstLine="576"/>
        <w:jc w:val="both"/>
        <w:rPr>
          <w:rFonts w:ascii="Arial" w:hAnsi="Arial" w:cs="Arial"/>
          <w:b/>
          <w:bCs/>
          <w:i/>
          <w:iCs/>
          <w:sz w:val="22"/>
          <w:szCs w:val="22"/>
        </w:rPr>
      </w:pPr>
      <w:r w:rsidRPr="00247E9C">
        <w:rPr>
          <w:rFonts w:ascii="Arial" w:hAnsi="Arial" w:cs="Arial"/>
          <w:b/>
          <w:bCs/>
          <w:i/>
          <w:iCs/>
          <w:sz w:val="22"/>
          <w:szCs w:val="22"/>
        </w:rPr>
        <w:t xml:space="preserve">1.5. </w:t>
      </w:r>
      <w:r w:rsidRPr="00E5547E">
        <w:rPr>
          <w:rFonts w:ascii="Arial" w:hAnsi="Arial" w:cs="Arial"/>
          <w:b/>
          <w:bCs/>
          <w:i/>
          <w:iCs/>
          <w:sz w:val="22"/>
          <w:szCs w:val="22"/>
        </w:rPr>
        <w:t>Konec pojištění:</w:t>
      </w:r>
      <w:r w:rsidRPr="00E5547E">
        <w:rPr>
          <w:rFonts w:ascii="Arial" w:hAnsi="Arial" w:cs="Arial"/>
          <w:b/>
          <w:bCs/>
          <w:i/>
          <w:iCs/>
          <w:sz w:val="22"/>
          <w:szCs w:val="22"/>
        </w:rPr>
        <w:tab/>
      </w:r>
    </w:p>
    <w:p w14:paraId="70DC5CD1" w14:textId="55769AF5" w:rsidR="00E5547E" w:rsidRPr="00E5547E" w:rsidRDefault="00E5547E" w:rsidP="00E5547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ind w:left="576"/>
        <w:jc w:val="both"/>
        <w:rPr>
          <w:rFonts w:ascii="Arial" w:eastAsia="Calibri" w:hAnsi="Arial" w:cs="Arial"/>
          <w:sz w:val="20"/>
          <w:szCs w:val="20"/>
          <w:lang w:eastAsia="en-US"/>
        </w:rPr>
      </w:pPr>
      <w:r>
        <w:rPr>
          <w:rFonts w:ascii="Arial" w:eastAsia="Calibri" w:hAnsi="Arial" w:cs="Arial"/>
          <w:i/>
          <w:iCs/>
          <w:lang w:eastAsia="en-US"/>
        </w:rPr>
        <w:tab/>
      </w:r>
      <w:r w:rsidRPr="00E5547E">
        <w:rPr>
          <w:rFonts w:ascii="Arial" w:eastAsia="Calibri" w:hAnsi="Arial" w:cs="Arial"/>
          <w:sz w:val="20"/>
          <w:szCs w:val="20"/>
          <w:lang w:eastAsia="en-US"/>
        </w:rPr>
        <w:t>Pojištění bude sjednáno na dobu určitou</w:t>
      </w:r>
      <w:r w:rsidRPr="00247E9C">
        <w:rPr>
          <w:rFonts w:ascii="Arial" w:eastAsia="Calibri" w:hAnsi="Arial" w:cs="Arial"/>
          <w:sz w:val="20"/>
          <w:szCs w:val="20"/>
          <w:lang w:eastAsia="en-US"/>
        </w:rPr>
        <w:t xml:space="preserve"> do 11.6.202</w:t>
      </w:r>
      <w:r w:rsidR="00F534FF">
        <w:rPr>
          <w:rFonts w:ascii="Arial" w:eastAsia="Calibri" w:hAnsi="Arial" w:cs="Arial"/>
          <w:sz w:val="20"/>
          <w:szCs w:val="20"/>
          <w:lang w:eastAsia="en-US"/>
        </w:rPr>
        <w:t>8</w:t>
      </w:r>
      <w:r w:rsidRPr="00E5547E">
        <w:rPr>
          <w:rFonts w:ascii="Arial" w:eastAsia="Calibri" w:hAnsi="Arial" w:cs="Arial"/>
          <w:sz w:val="20"/>
          <w:szCs w:val="20"/>
          <w:lang w:eastAsia="en-US"/>
        </w:rPr>
        <w:t xml:space="preserve">, s pojistným obdobím jeden rok. </w:t>
      </w:r>
    </w:p>
    <w:p w14:paraId="50E1A64D" w14:textId="77777777" w:rsidR="00E5547E" w:rsidRPr="00E5547E" w:rsidRDefault="00E5547E" w:rsidP="00E5547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jc w:val="both"/>
        <w:rPr>
          <w:rFonts w:ascii="Arial" w:eastAsia="Calibri" w:hAnsi="Arial" w:cs="Arial"/>
          <w:sz w:val="20"/>
          <w:szCs w:val="20"/>
          <w:lang w:eastAsia="en-US"/>
        </w:rPr>
      </w:pPr>
    </w:p>
    <w:p w14:paraId="7BB5B2DB" w14:textId="3B3B8A35" w:rsidR="00E5547E" w:rsidRPr="002568D8" w:rsidRDefault="00E5547E" w:rsidP="00E5547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jc w:val="both"/>
        <w:rPr>
          <w:rFonts w:ascii="Arial" w:eastAsia="Calibri" w:hAnsi="Arial" w:cs="Arial"/>
          <w:bCs/>
          <w:sz w:val="20"/>
          <w:szCs w:val="20"/>
          <w:lang w:eastAsia="en-US"/>
        </w:rPr>
      </w:pPr>
      <w:r w:rsidRPr="00E5547E">
        <w:rPr>
          <w:rFonts w:ascii="Arial" w:eastAsia="Calibri" w:hAnsi="Arial" w:cs="Arial"/>
          <w:bCs/>
          <w:sz w:val="20"/>
          <w:szCs w:val="20"/>
          <w:lang w:eastAsia="en-US"/>
        </w:rPr>
        <w:t xml:space="preserve">Pojistitel i pojistník je oprávněn vypovědět pojistnou smlouvu z jakéhokoliv důvodu i bez udání důvodu. Pojištění v takovém případě zanikne ke konci pojistného období, v němž byla výpověď doručena druhé smluvní straně. Výpověď musí být doručena druhé smluvní straně </w:t>
      </w:r>
      <w:r w:rsidRPr="002568D8">
        <w:rPr>
          <w:rFonts w:ascii="Arial" w:eastAsia="Calibri" w:hAnsi="Arial" w:cs="Arial"/>
          <w:bCs/>
          <w:sz w:val="20"/>
          <w:szCs w:val="20"/>
          <w:lang w:eastAsia="en-US"/>
        </w:rPr>
        <w:t>nejpozději 6 měsíců před koncem pojistného období, k němuž má pojištění zaniknout.</w:t>
      </w:r>
    </w:p>
    <w:p w14:paraId="049B886D" w14:textId="77777777" w:rsidR="00E5547E" w:rsidRPr="00E5547E" w:rsidRDefault="00E5547E" w:rsidP="00E5547E">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line="250" w:lineRule="exact"/>
        <w:jc w:val="both"/>
        <w:rPr>
          <w:rFonts w:ascii="Arial" w:eastAsia="Calibri" w:hAnsi="Arial" w:cs="Arial"/>
          <w:bCs/>
          <w:sz w:val="20"/>
          <w:szCs w:val="20"/>
          <w:lang w:eastAsia="en-US"/>
        </w:rPr>
      </w:pPr>
    </w:p>
    <w:p w14:paraId="3900F0AD" w14:textId="77777777" w:rsidR="00E5547E" w:rsidRPr="00E5547E" w:rsidRDefault="00247E9C" w:rsidP="00E5547E">
      <w:pPr>
        <w:keepNext/>
        <w:numPr>
          <w:ilvl w:val="1"/>
          <w:numId w:val="11"/>
        </w:numPr>
        <w:spacing w:before="240" w:after="60"/>
        <w:ind w:left="576" w:hanging="576"/>
        <w:jc w:val="both"/>
        <w:outlineLvl w:val="1"/>
        <w:rPr>
          <w:rFonts w:ascii="Arial" w:hAnsi="Arial" w:cs="Arial"/>
          <w:b/>
          <w:bCs/>
          <w:i/>
          <w:iCs/>
          <w:sz w:val="22"/>
          <w:szCs w:val="22"/>
        </w:rPr>
      </w:pPr>
      <w:r w:rsidRPr="00247E9C">
        <w:rPr>
          <w:rFonts w:ascii="Arial" w:hAnsi="Arial" w:cs="Arial"/>
          <w:b/>
          <w:bCs/>
          <w:i/>
          <w:iCs/>
          <w:sz w:val="22"/>
          <w:szCs w:val="22"/>
        </w:rPr>
        <w:t xml:space="preserve">1.6. </w:t>
      </w:r>
      <w:r w:rsidR="00E5547E" w:rsidRPr="00E5547E">
        <w:rPr>
          <w:rFonts w:ascii="Arial" w:hAnsi="Arial" w:cs="Arial"/>
          <w:b/>
          <w:bCs/>
          <w:i/>
          <w:iCs/>
          <w:sz w:val="22"/>
          <w:szCs w:val="22"/>
        </w:rPr>
        <w:t>Místo pojištění:</w:t>
      </w:r>
      <w:r w:rsidR="00E5547E" w:rsidRPr="00E5547E">
        <w:rPr>
          <w:rFonts w:ascii="Arial" w:hAnsi="Arial" w:cs="Arial"/>
          <w:b/>
          <w:bCs/>
          <w:i/>
          <w:iCs/>
          <w:sz w:val="22"/>
          <w:szCs w:val="22"/>
        </w:rPr>
        <w:tab/>
      </w:r>
    </w:p>
    <w:p w14:paraId="741DFB41" w14:textId="69DE807A" w:rsidR="00E5547E" w:rsidRPr="002568D8" w:rsidRDefault="007C70D7" w:rsidP="00247E9C">
      <w:pPr>
        <w:widowControl w:val="0"/>
        <w:autoSpaceDE w:val="0"/>
        <w:autoSpaceDN w:val="0"/>
        <w:adjustRightInd w:val="0"/>
        <w:spacing w:line="288" w:lineRule="atLeast"/>
        <w:ind w:firstLine="360"/>
        <w:jc w:val="both"/>
        <w:rPr>
          <w:rFonts w:ascii="Arial" w:hAnsi="Arial" w:cs="Arial"/>
          <w:sz w:val="20"/>
          <w:szCs w:val="20"/>
        </w:rPr>
      </w:pPr>
      <w:r>
        <w:rPr>
          <w:rFonts w:ascii="Arial" w:hAnsi="Arial" w:cs="Arial"/>
          <w:sz w:val="20"/>
          <w:szCs w:val="20"/>
        </w:rPr>
        <w:t>Správní obvod městská část Praha 17, k</w:t>
      </w:r>
      <w:r w:rsidR="008B3BCD" w:rsidRPr="002568D8">
        <w:rPr>
          <w:rFonts w:ascii="Arial" w:hAnsi="Arial" w:cs="Arial"/>
          <w:sz w:val="20"/>
          <w:szCs w:val="20"/>
        </w:rPr>
        <w:t>atastrální území</w:t>
      </w:r>
      <w:r w:rsidR="002568D8" w:rsidRPr="002568D8">
        <w:rPr>
          <w:rFonts w:ascii="Arial" w:hAnsi="Arial" w:cs="Arial"/>
          <w:sz w:val="20"/>
          <w:szCs w:val="20"/>
        </w:rPr>
        <w:t xml:space="preserve"> </w:t>
      </w:r>
      <w:r>
        <w:rPr>
          <w:rFonts w:ascii="Arial" w:hAnsi="Arial" w:cs="Arial"/>
          <w:sz w:val="20"/>
          <w:szCs w:val="20"/>
        </w:rPr>
        <w:t>Řepy [</w:t>
      </w:r>
      <w:r w:rsidR="002568D8" w:rsidRPr="002568D8">
        <w:rPr>
          <w:rFonts w:ascii="Arial" w:hAnsi="Arial" w:cs="Arial"/>
          <w:sz w:val="20"/>
          <w:szCs w:val="20"/>
          <w:lang w:eastAsia="en-US"/>
        </w:rPr>
        <w:t>729701</w:t>
      </w:r>
      <w:r>
        <w:rPr>
          <w:rFonts w:ascii="Arial" w:hAnsi="Arial" w:cs="Arial"/>
          <w:sz w:val="20"/>
          <w:szCs w:val="20"/>
          <w:lang w:eastAsia="en-US"/>
        </w:rPr>
        <w:t>].</w:t>
      </w:r>
      <w:r w:rsidR="002568D8" w:rsidRPr="002568D8">
        <w:rPr>
          <w:rFonts w:ascii="Arial" w:hAnsi="Arial" w:cs="Arial"/>
          <w:sz w:val="20"/>
          <w:szCs w:val="20"/>
        </w:rPr>
        <w:t xml:space="preserve"> </w:t>
      </w:r>
    </w:p>
    <w:p w14:paraId="3D3CE7B9" w14:textId="0F309D2A" w:rsidR="00E5547E" w:rsidRDefault="00E5547E" w:rsidP="00E5547E">
      <w:pPr>
        <w:rPr>
          <w:i/>
          <w:iCs/>
        </w:rPr>
      </w:pPr>
    </w:p>
    <w:p w14:paraId="570A17FE" w14:textId="39474CE8" w:rsidR="007F6791" w:rsidRDefault="007F6791" w:rsidP="00E5547E">
      <w:pPr>
        <w:rPr>
          <w:i/>
          <w:iCs/>
        </w:rPr>
      </w:pPr>
    </w:p>
    <w:p w14:paraId="7F5E2DC1" w14:textId="7942EC3B" w:rsidR="007F6791" w:rsidRDefault="007F6791" w:rsidP="00E5547E">
      <w:pPr>
        <w:rPr>
          <w:i/>
          <w:iCs/>
        </w:rPr>
      </w:pPr>
    </w:p>
    <w:p w14:paraId="176D7F1C" w14:textId="77777777" w:rsidR="00CC699F" w:rsidRPr="00E5547E" w:rsidRDefault="00CC699F" w:rsidP="00E5547E">
      <w:pPr>
        <w:rPr>
          <w:i/>
          <w:iCs/>
        </w:rPr>
      </w:pPr>
    </w:p>
    <w:p w14:paraId="64926877" w14:textId="77777777" w:rsidR="00A37F85" w:rsidRPr="00A37F85" w:rsidRDefault="00E71FD3" w:rsidP="00CB7736">
      <w:pPr>
        <w:pStyle w:val="Nadpis2"/>
        <w:numPr>
          <w:ilvl w:val="0"/>
          <w:numId w:val="2"/>
        </w:numPr>
        <w:rPr>
          <w:sz w:val="32"/>
        </w:rPr>
      </w:pPr>
      <w:r w:rsidRPr="003D4003">
        <w:lastRenderedPageBreak/>
        <w:t xml:space="preserve">pojištění </w:t>
      </w:r>
      <w:r w:rsidR="00246FE4" w:rsidRPr="003D4003">
        <w:t>majetku</w:t>
      </w:r>
    </w:p>
    <w:p w14:paraId="5FBE8947" w14:textId="77777777" w:rsidR="00B71B8C" w:rsidRPr="00957240" w:rsidRDefault="00B71B8C" w:rsidP="00A37F85">
      <w:pPr>
        <w:pStyle w:val="Nadpis2"/>
        <w:numPr>
          <w:ilvl w:val="1"/>
          <w:numId w:val="2"/>
        </w:numPr>
        <w:rPr>
          <w:sz w:val="22"/>
        </w:rPr>
      </w:pPr>
      <w:bookmarkStart w:id="1" w:name="OLE_LINK2"/>
      <w:bookmarkStart w:id="2" w:name="_Ref52163030"/>
      <w:r w:rsidRPr="00957240">
        <w:rPr>
          <w:sz w:val="22"/>
        </w:rPr>
        <w:t xml:space="preserve">Pojistné částky, </w:t>
      </w:r>
      <w:r w:rsidR="009B07DF">
        <w:rPr>
          <w:sz w:val="22"/>
        </w:rPr>
        <w:t xml:space="preserve">pojistná hodnota, </w:t>
      </w:r>
      <w:r w:rsidRPr="00957240">
        <w:rPr>
          <w:sz w:val="22"/>
        </w:rPr>
        <w:t>limity pojistného plnění</w:t>
      </w:r>
      <w:r w:rsidR="00D4094F">
        <w:rPr>
          <w:sz w:val="22"/>
        </w:rPr>
        <w:t xml:space="preserve"> </w:t>
      </w:r>
    </w:p>
    <w:p w14:paraId="2BA53FC9" w14:textId="7A614D51" w:rsidR="00A37F85" w:rsidRPr="00D56E89" w:rsidRDefault="00B71B8C" w:rsidP="00B71B8C">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Pojistné částky stanovené v </w:t>
      </w:r>
      <w:r w:rsidR="00A37F85" w:rsidRPr="00D56E89">
        <w:rPr>
          <w:rFonts w:ascii="Arial Narrow" w:hAnsi="Arial Narrow" w:cs="Arial Narrow"/>
          <w:sz w:val="20"/>
          <w:szCs w:val="20"/>
        </w:rPr>
        <w:t>P</w:t>
      </w:r>
      <w:r w:rsidRPr="00D56E89">
        <w:rPr>
          <w:rFonts w:ascii="Arial Narrow" w:hAnsi="Arial Narrow" w:cs="Arial Narrow"/>
          <w:sz w:val="20"/>
          <w:szCs w:val="20"/>
        </w:rPr>
        <w:t>ojistném programu v </w:t>
      </w:r>
      <w:r w:rsidR="00A37F85" w:rsidRPr="00D56E89">
        <w:rPr>
          <w:rFonts w:ascii="Arial Narrow" w:hAnsi="Arial Narrow" w:cs="Arial Narrow"/>
          <w:sz w:val="20"/>
          <w:szCs w:val="20"/>
        </w:rPr>
        <w:t>p</w:t>
      </w:r>
      <w:r w:rsidRPr="00D56E89">
        <w:rPr>
          <w:rFonts w:ascii="Arial Narrow" w:hAnsi="Arial Narrow" w:cs="Arial Narrow"/>
          <w:sz w:val="20"/>
          <w:szCs w:val="20"/>
        </w:rPr>
        <w:t>říloze č.</w:t>
      </w:r>
      <w:r w:rsidR="000D1B8B" w:rsidRPr="00D56E89">
        <w:rPr>
          <w:rFonts w:ascii="Arial Narrow" w:hAnsi="Arial Narrow" w:cs="Arial Narrow"/>
          <w:sz w:val="20"/>
          <w:szCs w:val="20"/>
        </w:rPr>
        <w:t xml:space="preserve"> 2</w:t>
      </w:r>
      <w:r w:rsidR="0022773E">
        <w:rPr>
          <w:rFonts w:ascii="Arial Narrow" w:hAnsi="Arial Narrow" w:cs="Arial Narrow"/>
          <w:sz w:val="20"/>
          <w:szCs w:val="20"/>
        </w:rPr>
        <w:t>b</w:t>
      </w:r>
      <w:r w:rsidR="000D1B8B" w:rsidRPr="00D56E89">
        <w:rPr>
          <w:rFonts w:ascii="Arial Narrow" w:hAnsi="Arial Narrow" w:cs="Arial Narrow"/>
          <w:sz w:val="20"/>
          <w:szCs w:val="20"/>
        </w:rPr>
        <w:t xml:space="preserve">) </w:t>
      </w:r>
      <w:r w:rsidRPr="00D56E89">
        <w:rPr>
          <w:rFonts w:ascii="Arial Narrow" w:hAnsi="Arial Narrow" w:cs="Arial Narrow"/>
          <w:sz w:val="20"/>
          <w:szCs w:val="20"/>
        </w:rPr>
        <w:t>zadávací dokumentace jsou pojistnými částkami</w:t>
      </w:r>
      <w:r w:rsidR="007A7790">
        <w:rPr>
          <w:rFonts w:ascii="Arial Narrow" w:hAnsi="Arial Narrow" w:cs="Arial Narrow"/>
          <w:sz w:val="20"/>
          <w:szCs w:val="20"/>
        </w:rPr>
        <w:t>, které eviduje Městská část Praha 17</w:t>
      </w:r>
      <w:r w:rsidRPr="00D56E89">
        <w:rPr>
          <w:rFonts w:ascii="Arial Narrow" w:hAnsi="Arial Narrow" w:cs="Arial Narrow"/>
          <w:sz w:val="20"/>
          <w:szCs w:val="20"/>
        </w:rPr>
        <w:t xml:space="preserve">. </w:t>
      </w:r>
    </w:p>
    <w:p w14:paraId="7D8CD76F" w14:textId="137E4104" w:rsidR="009B07DF" w:rsidRPr="007A7790" w:rsidRDefault="009B07DF" w:rsidP="00B71B8C">
      <w:pPr>
        <w:keepNext/>
        <w:spacing w:before="240" w:after="60"/>
        <w:ind w:left="360"/>
        <w:outlineLvl w:val="1"/>
        <w:rPr>
          <w:rFonts w:ascii="Arial Narrow" w:hAnsi="Arial Narrow" w:cs="Arial Narrow"/>
          <w:color w:val="FF0000"/>
          <w:sz w:val="20"/>
          <w:szCs w:val="20"/>
        </w:rPr>
      </w:pPr>
      <w:r w:rsidRPr="00D56E89">
        <w:rPr>
          <w:rFonts w:ascii="Arial Narrow" w:hAnsi="Arial Narrow" w:cs="Arial Narrow"/>
          <w:sz w:val="20"/>
          <w:szCs w:val="20"/>
        </w:rPr>
        <w:t>Pojistná hodnota pojišťovaných věcí je vyjádřena jako „nová cena</w:t>
      </w:r>
      <w:r w:rsidR="00833DDC" w:rsidRPr="007A7790">
        <w:rPr>
          <w:rFonts w:ascii="Arial Narrow" w:hAnsi="Arial Narrow" w:cs="Arial Narrow"/>
          <w:sz w:val="20"/>
          <w:szCs w:val="20"/>
        </w:rPr>
        <w:t>“</w:t>
      </w:r>
      <w:r w:rsidR="00833DDC">
        <w:rPr>
          <w:rFonts w:ascii="Arial Narrow" w:hAnsi="Arial Narrow" w:cs="Arial Narrow"/>
          <w:sz w:val="20"/>
          <w:szCs w:val="20"/>
        </w:rPr>
        <w:t>, jak</w:t>
      </w:r>
      <w:r w:rsidR="007A7790">
        <w:rPr>
          <w:rFonts w:ascii="Arial Narrow" w:hAnsi="Arial Narrow" w:cs="Arial Narrow"/>
          <w:sz w:val="20"/>
          <w:szCs w:val="20"/>
        </w:rPr>
        <w:t xml:space="preserve"> u věcí vlastních, tak i u věcí cizích</w:t>
      </w:r>
      <w:r w:rsidR="008B3BCD">
        <w:rPr>
          <w:rFonts w:ascii="Arial Narrow" w:hAnsi="Arial Narrow" w:cs="Arial Narrow"/>
          <w:sz w:val="20"/>
          <w:szCs w:val="20"/>
        </w:rPr>
        <w:t>.</w:t>
      </w:r>
    </w:p>
    <w:p w14:paraId="1F31C03A" w14:textId="77777777" w:rsidR="00D009AD" w:rsidRPr="00D56E89" w:rsidRDefault="00D009AD" w:rsidP="00B71B8C">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Limity pojistného plnění (1. rizika) jsou stanoveny jako </w:t>
      </w:r>
      <w:r w:rsidR="00FB6092" w:rsidRPr="00D56E89">
        <w:rPr>
          <w:rFonts w:ascii="Arial Narrow" w:hAnsi="Arial Narrow" w:cs="Arial Narrow"/>
          <w:sz w:val="20"/>
          <w:szCs w:val="20"/>
        </w:rPr>
        <w:t xml:space="preserve">limity celkové a </w:t>
      </w:r>
      <w:r w:rsidRPr="00D56E89">
        <w:rPr>
          <w:rFonts w:ascii="Arial Narrow" w:hAnsi="Arial Narrow" w:cs="Arial Narrow"/>
          <w:sz w:val="20"/>
          <w:szCs w:val="20"/>
        </w:rPr>
        <w:t xml:space="preserve">maximální </w:t>
      </w:r>
      <w:r w:rsidR="00FB6092" w:rsidRPr="00D56E89">
        <w:rPr>
          <w:rFonts w:ascii="Arial Narrow" w:hAnsi="Arial Narrow" w:cs="Arial Narrow"/>
          <w:sz w:val="20"/>
          <w:szCs w:val="20"/>
        </w:rPr>
        <w:t>pro jednu a všechny škody nastalé v průběhu jednoho pojistného roku</w:t>
      </w:r>
      <w:r w:rsidR="00D4094F" w:rsidRPr="00D56E89">
        <w:rPr>
          <w:rFonts w:ascii="Arial Narrow" w:hAnsi="Arial Narrow" w:cs="Arial Narrow"/>
          <w:sz w:val="20"/>
          <w:szCs w:val="20"/>
        </w:rPr>
        <w:t>.</w:t>
      </w:r>
    </w:p>
    <w:p w14:paraId="3D7E186D" w14:textId="77777777" w:rsidR="00EB1059" w:rsidRPr="00D56E89" w:rsidRDefault="00EB1059" w:rsidP="00EB1059">
      <w:pPr>
        <w:pStyle w:val="Nadpis2"/>
        <w:numPr>
          <w:ilvl w:val="1"/>
          <w:numId w:val="2"/>
        </w:numPr>
        <w:rPr>
          <w:sz w:val="22"/>
        </w:rPr>
      </w:pPr>
      <w:r w:rsidRPr="00D56E89">
        <w:rPr>
          <w:sz w:val="22"/>
        </w:rPr>
        <w:t>Automatické pojištění nového majetku</w:t>
      </w:r>
    </w:p>
    <w:p w14:paraId="297BF467" w14:textId="6D90E07C" w:rsidR="009B07DF" w:rsidRPr="00D56E89" w:rsidRDefault="009B07DF" w:rsidP="00B71B8C">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Veškerý nový majetek patřící svým charakterem mezi pojištěné věci, který pojištěný nabude v průběhu pojistného roku, je automaticky zahrnut do pojištění.</w:t>
      </w:r>
      <w:r w:rsidR="008B3BCD">
        <w:rPr>
          <w:rFonts w:ascii="Arial Narrow" w:hAnsi="Arial Narrow" w:cs="Arial Narrow"/>
          <w:sz w:val="20"/>
          <w:szCs w:val="20"/>
        </w:rPr>
        <w:t xml:space="preserve"> Pojistitel akceptuje odchylku od pojistné částky ve výši 15</w:t>
      </w:r>
      <w:r w:rsidR="00833DDC">
        <w:rPr>
          <w:rFonts w:ascii="Arial Narrow" w:hAnsi="Arial Narrow" w:cs="Arial Narrow"/>
          <w:sz w:val="20"/>
          <w:szCs w:val="20"/>
        </w:rPr>
        <w:t xml:space="preserve"> </w:t>
      </w:r>
      <w:r w:rsidR="008B3BCD">
        <w:rPr>
          <w:rFonts w:ascii="Arial Narrow" w:hAnsi="Arial Narrow" w:cs="Arial Narrow"/>
          <w:sz w:val="20"/>
          <w:szCs w:val="20"/>
        </w:rPr>
        <w:t>% a nebude namítat podpojištění.</w:t>
      </w:r>
    </w:p>
    <w:p w14:paraId="135BCEFD" w14:textId="6A00F16D" w:rsidR="009B07DF" w:rsidRDefault="009B07DF" w:rsidP="00B71B8C">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Zvýší-li se tím pojistná hodnota pojištěné věci nebo souboru pojištěných věcí o méně než 1</w:t>
      </w:r>
      <w:r w:rsidR="007A7790">
        <w:rPr>
          <w:rFonts w:ascii="Arial Narrow" w:hAnsi="Arial Narrow" w:cs="Arial Narrow"/>
          <w:sz w:val="20"/>
          <w:szCs w:val="20"/>
        </w:rPr>
        <w:t>5</w:t>
      </w:r>
      <w:r w:rsidR="00833DDC">
        <w:rPr>
          <w:rFonts w:ascii="Arial Narrow" w:hAnsi="Arial Narrow" w:cs="Arial Narrow"/>
          <w:sz w:val="20"/>
          <w:szCs w:val="20"/>
        </w:rPr>
        <w:t xml:space="preserve"> </w:t>
      </w:r>
      <w:r w:rsidRPr="00D56E89">
        <w:rPr>
          <w:rFonts w:ascii="Arial Narrow" w:hAnsi="Arial Narrow" w:cs="Arial Narrow"/>
          <w:sz w:val="20"/>
          <w:szCs w:val="20"/>
        </w:rPr>
        <w:t>%, nebude pojistitelem požadován doplatek pojistného.</w:t>
      </w:r>
    </w:p>
    <w:p w14:paraId="710F6E16" w14:textId="77777777" w:rsidR="00CE4180" w:rsidRPr="007F6791" w:rsidRDefault="00CE4180" w:rsidP="00FB6092">
      <w:pPr>
        <w:keepNext/>
        <w:numPr>
          <w:ilvl w:val="2"/>
          <w:numId w:val="2"/>
        </w:numPr>
        <w:spacing w:before="240" w:after="60"/>
        <w:outlineLvl w:val="1"/>
        <w:rPr>
          <w:rFonts w:ascii="Arial Narrow" w:hAnsi="Arial Narrow" w:cs="Arial Narrow"/>
          <w:b/>
          <w:sz w:val="22"/>
          <w:szCs w:val="22"/>
        </w:rPr>
      </w:pPr>
      <w:r w:rsidRPr="007F6791">
        <w:rPr>
          <w:rFonts w:ascii="Arial" w:hAnsi="Arial" w:cs="Arial"/>
          <w:b/>
          <w:bCs/>
          <w:i/>
          <w:iCs/>
          <w:sz w:val="22"/>
          <w:szCs w:val="22"/>
        </w:rPr>
        <w:t>S</w:t>
      </w:r>
      <w:r w:rsidR="0054552A" w:rsidRPr="007F6791">
        <w:rPr>
          <w:rFonts w:ascii="Arial" w:hAnsi="Arial" w:cs="Arial"/>
          <w:b/>
          <w:bCs/>
          <w:i/>
          <w:iCs/>
          <w:sz w:val="22"/>
          <w:szCs w:val="22"/>
        </w:rPr>
        <w:t>družený žive</w:t>
      </w:r>
      <w:r w:rsidRPr="007F6791">
        <w:rPr>
          <w:rFonts w:ascii="Arial" w:hAnsi="Arial" w:cs="Arial"/>
          <w:b/>
          <w:bCs/>
          <w:i/>
          <w:iCs/>
          <w:sz w:val="22"/>
          <w:szCs w:val="22"/>
        </w:rPr>
        <w:t>l</w:t>
      </w:r>
    </w:p>
    <w:p w14:paraId="77FF48A3" w14:textId="77777777" w:rsidR="00886EC0" w:rsidRPr="00D56E89" w:rsidRDefault="00886EC0"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Pojištění bude sjednáno pro riziko sdruženého živlu včetně doplňkových rizik, tzn.:</w:t>
      </w:r>
    </w:p>
    <w:p w14:paraId="46531D6F" w14:textId="7EBF7B7D" w:rsidR="00CC699F" w:rsidRDefault="00886EC0" w:rsidP="00E865A5">
      <w:pPr>
        <w:pStyle w:val="Bezmezer"/>
        <w:ind w:left="360"/>
        <w:rPr>
          <w:rFonts w:ascii="Arial Narrow" w:hAnsi="Arial Narrow"/>
          <w:sz w:val="20"/>
          <w:szCs w:val="20"/>
        </w:rPr>
      </w:pPr>
      <w:r w:rsidRPr="00CC699F">
        <w:rPr>
          <w:rFonts w:ascii="Arial Narrow" w:hAnsi="Arial Narrow"/>
          <w:sz w:val="20"/>
          <w:szCs w:val="20"/>
        </w:rPr>
        <w:t>poškození nebo zničení pojištěné věci požárem</w:t>
      </w:r>
      <w:r w:rsidR="00FB6092" w:rsidRPr="00CC699F">
        <w:rPr>
          <w:rFonts w:ascii="Arial Narrow" w:hAnsi="Arial Narrow"/>
          <w:sz w:val="20"/>
          <w:szCs w:val="20"/>
        </w:rPr>
        <w:t xml:space="preserve"> a jeho průvodními jevy</w:t>
      </w:r>
      <w:r w:rsidRPr="00CC699F">
        <w:rPr>
          <w:rFonts w:ascii="Arial Narrow" w:hAnsi="Arial Narrow"/>
          <w:sz w:val="20"/>
          <w:szCs w:val="20"/>
        </w:rPr>
        <w:t xml:space="preserve">, výbuchem, úderem blesku, nárazem nebo zřícením letadla, </w:t>
      </w:r>
      <w:r w:rsidR="00FB6092" w:rsidRPr="00CC699F">
        <w:rPr>
          <w:rFonts w:ascii="Arial Narrow" w:hAnsi="Arial Narrow"/>
          <w:sz w:val="20"/>
          <w:szCs w:val="20"/>
        </w:rPr>
        <w:t xml:space="preserve">jeho částí nebo jeho nákladu, </w:t>
      </w:r>
      <w:r w:rsidRPr="00CC699F">
        <w:rPr>
          <w:rFonts w:ascii="Arial Narrow" w:hAnsi="Arial Narrow"/>
          <w:sz w:val="20"/>
          <w:szCs w:val="20"/>
        </w:rPr>
        <w:t xml:space="preserve">nárazem </w:t>
      </w:r>
      <w:r w:rsidR="00FB6092" w:rsidRPr="00CC699F">
        <w:rPr>
          <w:rFonts w:ascii="Arial Narrow" w:hAnsi="Arial Narrow"/>
          <w:sz w:val="20"/>
          <w:szCs w:val="20"/>
        </w:rPr>
        <w:t xml:space="preserve">dopravního prostředku </w:t>
      </w:r>
      <w:r w:rsidR="00C95F92" w:rsidRPr="00CC699F">
        <w:rPr>
          <w:rFonts w:ascii="Arial Narrow" w:hAnsi="Arial Narrow"/>
          <w:sz w:val="20"/>
          <w:szCs w:val="20"/>
        </w:rPr>
        <w:t xml:space="preserve">(i vlastního) </w:t>
      </w:r>
      <w:r w:rsidR="00FB6092" w:rsidRPr="00CC699F">
        <w:rPr>
          <w:rFonts w:ascii="Arial Narrow" w:hAnsi="Arial Narrow"/>
          <w:sz w:val="20"/>
          <w:szCs w:val="20"/>
        </w:rPr>
        <w:t xml:space="preserve">nebo jeho nákladu, pádem stromů, stožárů nebo jiných předmětů, kapalinou unikající z vodovodních zařízení </w:t>
      </w:r>
      <w:r w:rsidR="00C95F92" w:rsidRPr="00CC699F">
        <w:rPr>
          <w:rFonts w:ascii="Arial Narrow" w:hAnsi="Arial Narrow"/>
          <w:sz w:val="20"/>
          <w:szCs w:val="20"/>
        </w:rPr>
        <w:t xml:space="preserve">včetně úniku kapaliny z odpadního potrubí </w:t>
      </w:r>
      <w:r w:rsidR="00FB6092" w:rsidRPr="00CC699F">
        <w:rPr>
          <w:rFonts w:ascii="Arial Narrow" w:hAnsi="Arial Narrow"/>
          <w:sz w:val="20"/>
          <w:szCs w:val="20"/>
        </w:rPr>
        <w:t>a mediem vytékajícím v důsledku poruchy ze stabilních hasicích zařízení</w:t>
      </w:r>
      <w:r w:rsidR="00FB6092" w:rsidRPr="002568D8">
        <w:rPr>
          <w:rFonts w:ascii="Arial Narrow" w:hAnsi="Arial Narrow"/>
          <w:sz w:val="20"/>
          <w:szCs w:val="20"/>
        </w:rPr>
        <w:t>,</w:t>
      </w:r>
      <w:r w:rsidR="004065AB" w:rsidRPr="002568D8">
        <w:rPr>
          <w:rFonts w:ascii="Arial Narrow" w:hAnsi="Arial Narrow"/>
          <w:sz w:val="20"/>
          <w:szCs w:val="20"/>
        </w:rPr>
        <w:t xml:space="preserve"> včetně nákladů na vyhledání místa poškození, včetně mimořádné spotřeby vody při pojistné události,</w:t>
      </w:r>
      <w:r w:rsidR="004065AB" w:rsidRPr="00CC699F">
        <w:rPr>
          <w:rFonts w:ascii="Arial Narrow" w:hAnsi="Arial Narrow"/>
          <w:sz w:val="20"/>
          <w:szCs w:val="20"/>
        </w:rPr>
        <w:t xml:space="preserve"> </w:t>
      </w:r>
      <w:r w:rsidR="00FB6092" w:rsidRPr="00CC699F">
        <w:rPr>
          <w:rFonts w:ascii="Arial Narrow" w:hAnsi="Arial Narrow"/>
          <w:sz w:val="20"/>
          <w:szCs w:val="20"/>
        </w:rPr>
        <w:t xml:space="preserve"> povodní nebo záplavou</w:t>
      </w:r>
      <w:r w:rsidR="00C95F92" w:rsidRPr="00CC699F">
        <w:rPr>
          <w:rFonts w:ascii="Arial Narrow" w:hAnsi="Arial Narrow"/>
          <w:sz w:val="20"/>
          <w:szCs w:val="20"/>
        </w:rPr>
        <w:t xml:space="preserve"> včetně vybřednutí vody z </w:t>
      </w:r>
      <w:r w:rsidR="00CC699F" w:rsidRPr="00CC699F">
        <w:rPr>
          <w:rFonts w:ascii="Arial Narrow" w:hAnsi="Arial Narrow"/>
          <w:sz w:val="20"/>
          <w:szCs w:val="20"/>
        </w:rPr>
        <w:t>k</w:t>
      </w:r>
      <w:r w:rsidR="00C95F92" w:rsidRPr="00CC699F">
        <w:rPr>
          <w:rFonts w:ascii="Arial Narrow" w:hAnsi="Arial Narrow"/>
          <w:sz w:val="20"/>
          <w:szCs w:val="20"/>
        </w:rPr>
        <w:t>analizace</w:t>
      </w:r>
      <w:r w:rsidR="00FB6092" w:rsidRPr="00CC699F">
        <w:rPr>
          <w:rFonts w:ascii="Arial Narrow" w:hAnsi="Arial Narrow"/>
          <w:sz w:val="20"/>
          <w:szCs w:val="20"/>
        </w:rPr>
        <w:t xml:space="preserve">, vichřicí nebo krupobitím, sesouváním půdy, zřícením skal nebo zemin, sesouváním nebo zřícením lavin, zemětřesením, tíhou sněhu nebo námrazy, </w:t>
      </w:r>
      <w:r w:rsidRPr="00CC699F">
        <w:rPr>
          <w:rFonts w:ascii="Arial Narrow" w:hAnsi="Arial Narrow"/>
          <w:sz w:val="20"/>
          <w:szCs w:val="20"/>
        </w:rPr>
        <w:t>aerodynamickým třeskem, kouřem</w:t>
      </w:r>
      <w:r w:rsidR="00C95F92" w:rsidRPr="00CC699F">
        <w:rPr>
          <w:rFonts w:ascii="Arial Narrow" w:hAnsi="Arial Narrow"/>
          <w:sz w:val="20"/>
          <w:szCs w:val="20"/>
        </w:rPr>
        <w:t>, přepětím a</w:t>
      </w:r>
      <w:r w:rsidR="008A0BA8" w:rsidRPr="00CC699F">
        <w:rPr>
          <w:rFonts w:ascii="Arial Narrow" w:hAnsi="Arial Narrow"/>
          <w:sz w:val="20"/>
          <w:szCs w:val="20"/>
        </w:rPr>
        <w:t> </w:t>
      </w:r>
      <w:r w:rsidR="00C95F92" w:rsidRPr="00CC699F">
        <w:rPr>
          <w:rFonts w:ascii="Arial Narrow" w:hAnsi="Arial Narrow"/>
          <w:sz w:val="20"/>
          <w:szCs w:val="20"/>
        </w:rPr>
        <w:t>atmosférickými srážkami</w:t>
      </w:r>
    </w:p>
    <w:p w14:paraId="22B5D748" w14:textId="77777777" w:rsidR="00E865A5" w:rsidRDefault="00E865A5" w:rsidP="00E865A5">
      <w:pPr>
        <w:pStyle w:val="Bezmezer"/>
        <w:ind w:left="360"/>
        <w:rPr>
          <w:rFonts w:ascii="Arial Narrow" w:hAnsi="Arial Narrow"/>
          <w:sz w:val="20"/>
          <w:szCs w:val="20"/>
        </w:rPr>
      </w:pPr>
    </w:p>
    <w:p w14:paraId="511EAA43" w14:textId="78911AB0" w:rsidR="00E865A5" w:rsidRPr="00F8665B" w:rsidRDefault="00E865A5" w:rsidP="00F8665B">
      <w:pPr>
        <w:pStyle w:val="Odstavecseseznamem"/>
        <w:keepNext/>
        <w:numPr>
          <w:ilvl w:val="2"/>
          <w:numId w:val="17"/>
        </w:numPr>
        <w:spacing w:before="240" w:after="60"/>
        <w:outlineLvl w:val="1"/>
        <w:rPr>
          <w:rFonts w:ascii="Arial" w:hAnsi="Arial" w:cs="Arial"/>
          <w:b/>
          <w:bCs/>
          <w:i/>
          <w:iCs/>
          <w:sz w:val="20"/>
          <w:szCs w:val="20"/>
        </w:rPr>
      </w:pPr>
      <w:r w:rsidRPr="00F8665B">
        <w:rPr>
          <w:rFonts w:ascii="Arial" w:hAnsi="Arial" w:cs="Arial"/>
          <w:b/>
          <w:bCs/>
          <w:i/>
          <w:iCs/>
          <w:sz w:val="20"/>
          <w:szCs w:val="20"/>
        </w:rPr>
        <w:t>Roční limity plnění pro sdružený živel</w:t>
      </w:r>
    </w:p>
    <w:tbl>
      <w:tblPr>
        <w:tblW w:w="7308" w:type="dxa"/>
        <w:tblInd w:w="360" w:type="dxa"/>
        <w:tblLook w:val="01E0" w:firstRow="1" w:lastRow="1" w:firstColumn="1" w:lastColumn="1" w:noHBand="0" w:noVBand="0"/>
      </w:tblPr>
      <w:tblGrid>
        <w:gridCol w:w="5148"/>
        <w:gridCol w:w="2160"/>
      </w:tblGrid>
      <w:tr w:rsidR="00E865A5" w:rsidRPr="00D56E89" w14:paraId="191074E1" w14:textId="77777777" w:rsidTr="00CB0B6B">
        <w:trPr>
          <w:trHeight w:val="510"/>
        </w:trPr>
        <w:tc>
          <w:tcPr>
            <w:tcW w:w="5148" w:type="dxa"/>
          </w:tcPr>
          <w:p w14:paraId="20769CAA" w14:textId="77777777" w:rsidR="00E865A5" w:rsidRPr="00D56E89"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záplava, povodeň</w:t>
            </w:r>
            <w:r w:rsidRPr="00D56E89">
              <w:rPr>
                <w:rFonts w:ascii="Arial Narrow" w:hAnsi="Arial Narrow" w:cs="Arial Narrow"/>
                <w:sz w:val="20"/>
                <w:szCs w:val="20"/>
              </w:rPr>
              <w:tab/>
            </w:r>
          </w:p>
        </w:tc>
        <w:tc>
          <w:tcPr>
            <w:tcW w:w="2160" w:type="dxa"/>
          </w:tcPr>
          <w:p w14:paraId="0164F4D0" w14:textId="77777777" w:rsidR="00E865A5" w:rsidRPr="00D56E89" w:rsidRDefault="00E865A5" w:rsidP="00CB0B6B">
            <w:pPr>
              <w:keepNext/>
              <w:spacing w:before="240" w:after="60"/>
              <w:jc w:val="right"/>
              <w:outlineLvl w:val="1"/>
              <w:rPr>
                <w:rFonts w:ascii="Arial Narrow" w:hAnsi="Arial Narrow" w:cs="Arial Narrow"/>
                <w:sz w:val="20"/>
                <w:szCs w:val="20"/>
              </w:rPr>
            </w:pPr>
            <w:r>
              <w:rPr>
                <w:rFonts w:ascii="Arial Narrow" w:hAnsi="Arial Narrow" w:cs="Arial Narrow"/>
                <w:sz w:val="20"/>
                <w:szCs w:val="20"/>
              </w:rPr>
              <w:t>15</w:t>
            </w:r>
            <w:r w:rsidRPr="00D56E89">
              <w:rPr>
                <w:rFonts w:ascii="Arial Narrow" w:hAnsi="Arial Narrow" w:cs="Arial Narrow"/>
                <w:sz w:val="20"/>
                <w:szCs w:val="20"/>
              </w:rPr>
              <w:t>0 000 000 Kč</w:t>
            </w:r>
          </w:p>
        </w:tc>
      </w:tr>
      <w:tr w:rsidR="00E865A5" w:rsidRPr="00D56E89" w14:paraId="457FA09F" w14:textId="77777777" w:rsidTr="00CB0B6B">
        <w:trPr>
          <w:trHeight w:val="652"/>
        </w:trPr>
        <w:tc>
          <w:tcPr>
            <w:tcW w:w="5148" w:type="dxa"/>
          </w:tcPr>
          <w:p w14:paraId="2760A0C0" w14:textId="77777777" w:rsidR="00E865A5" w:rsidRPr="00D56E89"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vichřice, krupobití</w:t>
            </w:r>
          </w:p>
        </w:tc>
        <w:tc>
          <w:tcPr>
            <w:tcW w:w="2160" w:type="dxa"/>
          </w:tcPr>
          <w:p w14:paraId="4103AFE4" w14:textId="77777777" w:rsidR="00E865A5" w:rsidRPr="00D56E89" w:rsidRDefault="00E865A5" w:rsidP="00CB0B6B">
            <w:pPr>
              <w:keepNext/>
              <w:spacing w:before="240" w:after="60"/>
              <w:jc w:val="right"/>
              <w:outlineLvl w:val="1"/>
              <w:rPr>
                <w:rFonts w:ascii="Arial Narrow" w:hAnsi="Arial Narrow" w:cs="Arial Narrow"/>
                <w:sz w:val="20"/>
                <w:szCs w:val="20"/>
              </w:rPr>
            </w:pPr>
            <w:r>
              <w:rPr>
                <w:rFonts w:ascii="Arial Narrow" w:hAnsi="Arial Narrow" w:cs="Arial Narrow"/>
                <w:sz w:val="20"/>
                <w:szCs w:val="20"/>
              </w:rPr>
              <w:t>2</w:t>
            </w:r>
            <w:r w:rsidRPr="00D56E89">
              <w:rPr>
                <w:rFonts w:ascii="Arial Narrow" w:hAnsi="Arial Narrow" w:cs="Arial Narrow"/>
                <w:sz w:val="20"/>
                <w:szCs w:val="20"/>
              </w:rPr>
              <w:t xml:space="preserve">00 000 000 Kč </w:t>
            </w:r>
          </w:p>
        </w:tc>
      </w:tr>
      <w:tr w:rsidR="00E865A5" w:rsidRPr="00D56E89" w14:paraId="675C6F1D" w14:textId="77777777" w:rsidTr="00CB0B6B">
        <w:trPr>
          <w:trHeight w:val="652"/>
        </w:trPr>
        <w:tc>
          <w:tcPr>
            <w:tcW w:w="5148" w:type="dxa"/>
          </w:tcPr>
          <w:p w14:paraId="4C41CD60" w14:textId="77777777" w:rsidR="00E865A5" w:rsidRPr="00D56E89"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 xml:space="preserve">sesouvání půdy, zřícení skal nebo zemin, sesouvání nebo zřícení lavin, zemětřesením, tíha sněhu a námrazy, pád předmětů, stromů a stožárů </w:t>
            </w:r>
          </w:p>
        </w:tc>
        <w:tc>
          <w:tcPr>
            <w:tcW w:w="2160" w:type="dxa"/>
          </w:tcPr>
          <w:p w14:paraId="1370BF02" w14:textId="77777777" w:rsidR="00E865A5" w:rsidRPr="00D56E89" w:rsidRDefault="00E865A5" w:rsidP="00CB0B6B">
            <w:pPr>
              <w:keepNext/>
              <w:spacing w:before="240" w:after="60"/>
              <w:jc w:val="right"/>
              <w:outlineLvl w:val="1"/>
              <w:rPr>
                <w:rFonts w:ascii="Arial Narrow" w:hAnsi="Arial Narrow" w:cs="Arial Narrow"/>
                <w:sz w:val="20"/>
                <w:szCs w:val="20"/>
              </w:rPr>
            </w:pPr>
            <w:r>
              <w:rPr>
                <w:rFonts w:ascii="Arial Narrow" w:hAnsi="Arial Narrow" w:cs="Arial Narrow"/>
                <w:sz w:val="20"/>
                <w:szCs w:val="20"/>
              </w:rPr>
              <w:t>2</w:t>
            </w:r>
            <w:r w:rsidRPr="00D56E89">
              <w:rPr>
                <w:rFonts w:ascii="Arial Narrow" w:hAnsi="Arial Narrow" w:cs="Arial Narrow"/>
                <w:sz w:val="20"/>
                <w:szCs w:val="20"/>
              </w:rPr>
              <w:t>00 000 000 Kč</w:t>
            </w:r>
          </w:p>
        </w:tc>
      </w:tr>
      <w:tr w:rsidR="00E865A5" w:rsidRPr="00D56E89" w14:paraId="5F769F24" w14:textId="77777777" w:rsidTr="00CB0B6B">
        <w:trPr>
          <w:trHeight w:val="652"/>
        </w:trPr>
        <w:tc>
          <w:tcPr>
            <w:tcW w:w="5148" w:type="dxa"/>
          </w:tcPr>
          <w:p w14:paraId="601F9EFF" w14:textId="77777777" w:rsidR="00E865A5" w:rsidRPr="00D56E89"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Vodovodní škody</w:t>
            </w:r>
          </w:p>
          <w:p w14:paraId="38239951" w14:textId="77777777" w:rsidR="00E865A5" w:rsidRPr="00D56E89"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Přepětí, nepřímý úder blesku</w:t>
            </w:r>
          </w:p>
          <w:p w14:paraId="48BD9BDB" w14:textId="77777777" w:rsidR="00E865A5" w:rsidRDefault="00E865A5" w:rsidP="00CB0B6B">
            <w:pPr>
              <w:keepNext/>
              <w:spacing w:before="240" w:after="60"/>
              <w:outlineLvl w:val="1"/>
              <w:rPr>
                <w:rFonts w:ascii="Arial Narrow" w:hAnsi="Arial Narrow" w:cs="Arial Narrow"/>
                <w:sz w:val="20"/>
                <w:szCs w:val="20"/>
              </w:rPr>
            </w:pPr>
            <w:r w:rsidRPr="00D56E89">
              <w:rPr>
                <w:rFonts w:ascii="Arial Narrow" w:hAnsi="Arial Narrow" w:cs="Arial Narrow"/>
                <w:sz w:val="20"/>
                <w:szCs w:val="20"/>
              </w:rPr>
              <w:t>Atmosférické srážky</w:t>
            </w:r>
          </w:p>
          <w:p w14:paraId="2D10FBD3" w14:textId="77777777" w:rsidR="00E865A5" w:rsidRPr="00D56E89" w:rsidRDefault="00E865A5" w:rsidP="00CB0B6B">
            <w:pPr>
              <w:keepNext/>
              <w:spacing w:before="240" w:after="60"/>
              <w:outlineLvl w:val="1"/>
              <w:rPr>
                <w:rFonts w:ascii="Arial Narrow" w:hAnsi="Arial Narrow" w:cs="Arial Narrow"/>
                <w:sz w:val="20"/>
                <w:szCs w:val="20"/>
              </w:rPr>
            </w:pPr>
            <w:r>
              <w:rPr>
                <w:rFonts w:ascii="Arial Narrow" w:hAnsi="Arial Narrow" w:cs="Arial Narrow"/>
                <w:sz w:val="20"/>
                <w:szCs w:val="20"/>
              </w:rPr>
              <w:t>Mimořádná spotřeba vody při pojistné události</w:t>
            </w:r>
          </w:p>
        </w:tc>
        <w:tc>
          <w:tcPr>
            <w:tcW w:w="2160" w:type="dxa"/>
          </w:tcPr>
          <w:p w14:paraId="7F998A44" w14:textId="77777777" w:rsidR="00E865A5" w:rsidRPr="00D56E89" w:rsidRDefault="00E865A5" w:rsidP="00CB0B6B">
            <w:pPr>
              <w:keepNext/>
              <w:spacing w:before="240" w:after="60"/>
              <w:jc w:val="right"/>
              <w:outlineLvl w:val="1"/>
              <w:rPr>
                <w:rFonts w:ascii="Arial Narrow" w:hAnsi="Arial Narrow" w:cs="Arial Narrow"/>
                <w:sz w:val="20"/>
                <w:szCs w:val="20"/>
              </w:rPr>
            </w:pPr>
            <w:r>
              <w:rPr>
                <w:rFonts w:ascii="Arial Narrow" w:hAnsi="Arial Narrow" w:cs="Arial Narrow"/>
                <w:sz w:val="20"/>
                <w:szCs w:val="20"/>
              </w:rPr>
              <w:t>15</w:t>
            </w:r>
            <w:r w:rsidRPr="00D56E89">
              <w:rPr>
                <w:rFonts w:ascii="Arial Narrow" w:hAnsi="Arial Narrow" w:cs="Arial Narrow"/>
                <w:sz w:val="20"/>
                <w:szCs w:val="20"/>
              </w:rPr>
              <w:t>0 000 000 Kč</w:t>
            </w:r>
          </w:p>
          <w:p w14:paraId="405A50E2" w14:textId="77777777" w:rsidR="00E865A5" w:rsidRDefault="00E865A5" w:rsidP="00CB0B6B">
            <w:pPr>
              <w:keepNext/>
              <w:spacing w:before="240" w:after="60"/>
              <w:jc w:val="right"/>
              <w:outlineLvl w:val="1"/>
              <w:rPr>
                <w:rFonts w:ascii="Arial Narrow" w:hAnsi="Arial Narrow" w:cs="Arial Narrow"/>
                <w:sz w:val="20"/>
                <w:szCs w:val="20"/>
              </w:rPr>
            </w:pPr>
            <w:r w:rsidRPr="00D56E89">
              <w:rPr>
                <w:rFonts w:ascii="Arial Narrow" w:hAnsi="Arial Narrow" w:cs="Arial Narrow"/>
                <w:sz w:val="20"/>
                <w:szCs w:val="20"/>
              </w:rPr>
              <w:t xml:space="preserve">5 000 000 Kč </w:t>
            </w:r>
          </w:p>
          <w:p w14:paraId="63DDC371" w14:textId="77777777" w:rsidR="00E865A5" w:rsidRDefault="00E865A5" w:rsidP="00CB0B6B">
            <w:pPr>
              <w:keepNext/>
              <w:spacing w:before="240" w:after="60"/>
              <w:jc w:val="right"/>
              <w:outlineLvl w:val="1"/>
              <w:rPr>
                <w:rFonts w:ascii="Arial Narrow" w:hAnsi="Arial Narrow" w:cs="Arial Narrow"/>
                <w:sz w:val="20"/>
                <w:szCs w:val="20"/>
              </w:rPr>
            </w:pPr>
            <w:r w:rsidRPr="00D56E89">
              <w:rPr>
                <w:rFonts w:ascii="Arial Narrow" w:hAnsi="Arial Narrow" w:cs="Arial Narrow"/>
                <w:sz w:val="20"/>
                <w:szCs w:val="20"/>
              </w:rPr>
              <w:t>5 000 000 Kč</w:t>
            </w:r>
          </w:p>
          <w:p w14:paraId="4D9FC1FB" w14:textId="38725FEA" w:rsidR="00E865A5" w:rsidRPr="00F8665B" w:rsidRDefault="00E865A5" w:rsidP="00F8665B">
            <w:pPr>
              <w:pStyle w:val="Odstavecseseznamem"/>
              <w:keepNext/>
              <w:numPr>
                <w:ilvl w:val="0"/>
                <w:numId w:val="18"/>
              </w:numPr>
              <w:spacing w:before="240" w:after="60"/>
              <w:jc w:val="right"/>
              <w:outlineLvl w:val="1"/>
              <w:rPr>
                <w:rFonts w:ascii="Arial Narrow" w:hAnsi="Arial Narrow" w:cs="Arial Narrow"/>
                <w:sz w:val="20"/>
                <w:szCs w:val="20"/>
              </w:rPr>
            </w:pPr>
            <w:r w:rsidRPr="00F8665B">
              <w:rPr>
                <w:rFonts w:ascii="Arial Narrow" w:hAnsi="Arial Narrow" w:cs="Arial Narrow"/>
                <w:sz w:val="20"/>
                <w:szCs w:val="20"/>
              </w:rPr>
              <w:t>000 Kč</w:t>
            </w:r>
          </w:p>
          <w:p w14:paraId="04E1A4A9" w14:textId="77777777" w:rsidR="00E865A5" w:rsidRPr="00D56E89" w:rsidRDefault="00E865A5" w:rsidP="00CB0B6B">
            <w:pPr>
              <w:keepNext/>
              <w:spacing w:before="240" w:after="60"/>
              <w:jc w:val="right"/>
              <w:outlineLvl w:val="1"/>
              <w:rPr>
                <w:rFonts w:ascii="Arial Narrow" w:hAnsi="Arial Narrow" w:cs="Arial Narrow"/>
                <w:sz w:val="20"/>
                <w:szCs w:val="20"/>
              </w:rPr>
            </w:pPr>
          </w:p>
        </w:tc>
      </w:tr>
    </w:tbl>
    <w:p w14:paraId="59F2C28E" w14:textId="77777777" w:rsidR="00E865A5" w:rsidRDefault="00E865A5" w:rsidP="00E865A5">
      <w:pPr>
        <w:pStyle w:val="Bezmezer"/>
        <w:ind w:left="360"/>
        <w:rPr>
          <w:rFonts w:ascii="Arial Narrow" w:hAnsi="Arial Narrow"/>
          <w:sz w:val="20"/>
          <w:szCs w:val="20"/>
        </w:rPr>
      </w:pPr>
    </w:p>
    <w:p w14:paraId="2749181A" w14:textId="21E15622" w:rsidR="00820F4F" w:rsidRPr="00D56E89" w:rsidRDefault="00F8665B" w:rsidP="00F8665B">
      <w:pPr>
        <w:pStyle w:val="Nadpis2"/>
        <w:numPr>
          <w:ilvl w:val="0"/>
          <w:numId w:val="0"/>
        </w:numPr>
        <w:ind w:left="283"/>
        <w:rPr>
          <w:sz w:val="22"/>
        </w:rPr>
      </w:pPr>
      <w:r>
        <w:rPr>
          <w:sz w:val="22"/>
        </w:rPr>
        <w:lastRenderedPageBreak/>
        <w:t>2.3</w:t>
      </w:r>
      <w:r w:rsidR="003A74E0">
        <w:rPr>
          <w:sz w:val="22"/>
        </w:rPr>
        <w:tab/>
      </w:r>
      <w:r w:rsidR="008972A9" w:rsidRPr="00D56E89">
        <w:rPr>
          <w:sz w:val="22"/>
        </w:rPr>
        <w:t xml:space="preserve">Pojištění odcizení </w:t>
      </w:r>
    </w:p>
    <w:p w14:paraId="3A2E575E" w14:textId="7CF75ACC" w:rsidR="008972A9" w:rsidRPr="00D56E89" w:rsidRDefault="008972A9"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pojištění krádež</w:t>
      </w:r>
      <w:r w:rsidR="00632990" w:rsidRPr="00D56E89">
        <w:rPr>
          <w:rFonts w:ascii="Arial Narrow" w:hAnsi="Arial Narrow" w:cs="Arial Narrow"/>
          <w:sz w:val="20"/>
          <w:szCs w:val="20"/>
        </w:rPr>
        <w:t xml:space="preserve">e </w:t>
      </w:r>
      <w:r w:rsidRPr="00D56E89">
        <w:rPr>
          <w:rFonts w:ascii="Arial Narrow" w:hAnsi="Arial Narrow" w:cs="Arial Narrow"/>
          <w:sz w:val="20"/>
          <w:szCs w:val="20"/>
        </w:rPr>
        <w:t>vloupáním a</w:t>
      </w:r>
      <w:r w:rsidR="00210802" w:rsidRPr="00D56E89">
        <w:rPr>
          <w:rFonts w:ascii="Arial Narrow" w:hAnsi="Arial Narrow" w:cs="Arial Narrow"/>
          <w:sz w:val="20"/>
          <w:szCs w:val="20"/>
        </w:rPr>
        <w:t>/nebo</w:t>
      </w:r>
      <w:r w:rsidRPr="00D56E89">
        <w:rPr>
          <w:rFonts w:ascii="Arial Narrow" w:hAnsi="Arial Narrow" w:cs="Arial Narrow"/>
          <w:sz w:val="20"/>
          <w:szCs w:val="20"/>
        </w:rPr>
        <w:t xml:space="preserve"> loupež</w:t>
      </w:r>
      <w:r w:rsidR="00210802" w:rsidRPr="00D56E89">
        <w:rPr>
          <w:rFonts w:ascii="Arial Narrow" w:hAnsi="Arial Narrow" w:cs="Arial Narrow"/>
          <w:sz w:val="20"/>
          <w:szCs w:val="20"/>
        </w:rPr>
        <w:t>í</w:t>
      </w:r>
      <w:r w:rsidR="00571E6C">
        <w:rPr>
          <w:rFonts w:ascii="Arial Narrow" w:hAnsi="Arial Narrow" w:cs="Arial Narrow"/>
          <w:sz w:val="20"/>
          <w:szCs w:val="20"/>
        </w:rPr>
        <w:t xml:space="preserve"> včetně prosté krádeže zvláště u věci na volném prostranství jako jsou solární odpadkové koše, lavičky, herní prvky na dětských hřištích</w:t>
      </w:r>
    </w:p>
    <w:p w14:paraId="1EDA7449" w14:textId="77777777" w:rsidR="00210802" w:rsidRPr="00D56E89" w:rsidRDefault="00210802"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včetně poškození pojištěných věcí vandalským činem (zjištěným i nezjištěným pachatelem) v souvislosti s</w:t>
      </w:r>
      <w:r w:rsidR="00553FF6" w:rsidRPr="00D56E89">
        <w:rPr>
          <w:rFonts w:ascii="Arial Narrow" w:hAnsi="Arial Narrow" w:cs="Arial Narrow"/>
          <w:sz w:val="20"/>
          <w:szCs w:val="20"/>
        </w:rPr>
        <w:t> </w:t>
      </w:r>
      <w:r w:rsidRPr="00D56E89">
        <w:rPr>
          <w:rFonts w:ascii="Arial Narrow" w:hAnsi="Arial Narrow" w:cs="Arial Narrow"/>
          <w:sz w:val="20"/>
          <w:szCs w:val="20"/>
        </w:rPr>
        <w:t>odcizením</w:t>
      </w:r>
    </w:p>
    <w:p w14:paraId="3DABE4C5" w14:textId="77777777" w:rsidR="004C0E71" w:rsidRPr="00D56E89" w:rsidRDefault="004C0E71" w:rsidP="004C0E71">
      <w:pPr>
        <w:keepNext/>
        <w:spacing w:before="240" w:after="60"/>
        <w:outlineLvl w:val="1"/>
        <w:rPr>
          <w:rFonts w:ascii="Arial Narrow" w:hAnsi="Arial Narrow" w:cs="Arial Narrow"/>
          <w:sz w:val="20"/>
          <w:szCs w:val="20"/>
        </w:rPr>
      </w:pPr>
    </w:p>
    <w:p w14:paraId="067421A7" w14:textId="5193C4E3" w:rsidR="00820F4F" w:rsidRPr="00D56E89" w:rsidRDefault="008972A9" w:rsidP="00F8665B">
      <w:pPr>
        <w:pStyle w:val="Nadpis2"/>
        <w:numPr>
          <w:ilvl w:val="1"/>
          <w:numId w:val="19"/>
        </w:numPr>
        <w:rPr>
          <w:sz w:val="22"/>
        </w:rPr>
      </w:pPr>
      <w:r w:rsidRPr="00D56E89">
        <w:rPr>
          <w:sz w:val="22"/>
        </w:rPr>
        <w:t>Pojištění vandalismu</w:t>
      </w:r>
    </w:p>
    <w:p w14:paraId="303BAD1B" w14:textId="77777777" w:rsidR="008972A9" w:rsidRPr="00D56E89" w:rsidRDefault="00210802"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zjištěný i </w:t>
      </w:r>
      <w:r w:rsidR="008972A9" w:rsidRPr="00D56E89">
        <w:rPr>
          <w:rFonts w:ascii="Arial Narrow" w:hAnsi="Arial Narrow" w:cs="Arial Narrow"/>
          <w:sz w:val="20"/>
          <w:szCs w:val="20"/>
        </w:rPr>
        <w:t xml:space="preserve">nezjištěný pachatel vč. </w:t>
      </w:r>
      <w:r w:rsidRPr="00D56E89">
        <w:rPr>
          <w:rFonts w:ascii="Arial Narrow" w:hAnsi="Arial Narrow" w:cs="Arial Narrow"/>
          <w:sz w:val="20"/>
          <w:szCs w:val="20"/>
        </w:rPr>
        <w:t>s</w:t>
      </w:r>
      <w:r w:rsidR="008972A9" w:rsidRPr="00D56E89">
        <w:rPr>
          <w:rFonts w:ascii="Arial Narrow" w:hAnsi="Arial Narrow" w:cs="Arial Narrow"/>
          <w:sz w:val="20"/>
          <w:szCs w:val="20"/>
        </w:rPr>
        <w:t>prejerů</w:t>
      </w:r>
    </w:p>
    <w:p w14:paraId="7C6CA971" w14:textId="77777777" w:rsidR="00210802" w:rsidRPr="00D56E89" w:rsidRDefault="00210802"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bez souvislosti s</w:t>
      </w:r>
      <w:r w:rsidR="004C0E71" w:rsidRPr="00D56E89">
        <w:rPr>
          <w:rFonts w:ascii="Arial Narrow" w:hAnsi="Arial Narrow" w:cs="Arial Narrow"/>
          <w:sz w:val="20"/>
          <w:szCs w:val="20"/>
        </w:rPr>
        <w:t> </w:t>
      </w:r>
      <w:r w:rsidRPr="00D56E89">
        <w:rPr>
          <w:rFonts w:ascii="Arial Narrow" w:hAnsi="Arial Narrow" w:cs="Arial Narrow"/>
          <w:sz w:val="20"/>
          <w:szCs w:val="20"/>
        </w:rPr>
        <w:t>odcizením</w:t>
      </w:r>
    </w:p>
    <w:p w14:paraId="6FAD3C93" w14:textId="77777777" w:rsidR="004C0E71" w:rsidRPr="00D56E89" w:rsidRDefault="004C0E71" w:rsidP="00820F4F">
      <w:pPr>
        <w:keepNext/>
        <w:spacing w:before="240" w:after="60"/>
        <w:ind w:left="360"/>
        <w:outlineLvl w:val="1"/>
        <w:rPr>
          <w:rFonts w:ascii="Arial Narrow" w:hAnsi="Arial Narrow" w:cs="Arial Narrow"/>
          <w:sz w:val="20"/>
          <w:szCs w:val="20"/>
        </w:rPr>
      </w:pPr>
    </w:p>
    <w:p w14:paraId="63F9BC3A" w14:textId="77777777" w:rsidR="00820F4F" w:rsidRPr="00D56E89" w:rsidRDefault="008972A9" w:rsidP="00F8665B">
      <w:pPr>
        <w:pStyle w:val="Nadpis2"/>
        <w:numPr>
          <w:ilvl w:val="1"/>
          <w:numId w:val="19"/>
        </w:numPr>
        <w:rPr>
          <w:sz w:val="22"/>
        </w:rPr>
      </w:pPr>
      <w:r w:rsidRPr="00D56E89">
        <w:rPr>
          <w:sz w:val="22"/>
        </w:rPr>
        <w:t xml:space="preserve">Pojištění skel </w:t>
      </w:r>
    </w:p>
    <w:p w14:paraId="7EB6DB67" w14:textId="77777777" w:rsidR="008972A9" w:rsidRPr="00D56E89" w:rsidRDefault="008972A9"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rozbití, prasknutí, poškození skla </w:t>
      </w:r>
      <w:r w:rsidR="00210802" w:rsidRPr="00D56E89">
        <w:rPr>
          <w:rFonts w:ascii="Arial Narrow" w:hAnsi="Arial Narrow" w:cs="Arial Narrow"/>
          <w:sz w:val="20"/>
          <w:szCs w:val="20"/>
        </w:rPr>
        <w:t>a/</w:t>
      </w:r>
      <w:r w:rsidR="0054552A" w:rsidRPr="00D56E89">
        <w:rPr>
          <w:rFonts w:ascii="Arial Narrow" w:hAnsi="Arial Narrow" w:cs="Arial Narrow"/>
          <w:sz w:val="20"/>
          <w:szCs w:val="20"/>
        </w:rPr>
        <w:t xml:space="preserve">nebo zrcadla </w:t>
      </w:r>
      <w:r w:rsidRPr="00D56E89">
        <w:rPr>
          <w:rFonts w:ascii="Arial Narrow" w:hAnsi="Arial Narrow" w:cs="Arial Narrow"/>
          <w:sz w:val="20"/>
          <w:szCs w:val="20"/>
        </w:rPr>
        <w:t>tak, že je nezbytná jeho výměna</w:t>
      </w:r>
    </w:p>
    <w:p w14:paraId="480BF28F" w14:textId="23580B83" w:rsidR="00883B78" w:rsidRDefault="00883B78" w:rsidP="00CC699F">
      <w:pPr>
        <w:pStyle w:val="Bezmezer"/>
        <w:ind w:left="283"/>
        <w:rPr>
          <w:rFonts w:ascii="Arial Narrow" w:hAnsi="Arial Narrow"/>
          <w:sz w:val="20"/>
          <w:szCs w:val="20"/>
        </w:rPr>
      </w:pPr>
      <w:r w:rsidRPr="00CC699F">
        <w:rPr>
          <w:rFonts w:ascii="Arial Narrow" w:hAnsi="Arial Narrow"/>
          <w:sz w:val="20"/>
          <w:szCs w:val="20"/>
        </w:rPr>
        <w:t>např. skleněných výplní stavebních součástí (okenních, dveřních, výlohových), skleněné výplně movitého charakteru uvnitř budovy (skleněné pulty, skleněné stěny, výstavní skříňky a vitríny, zrcadla, obložení stěn, stropů a podhledů apod.) bez udání tloušťky skla včetně nalepených (neodnímatelných snímačů zabezpečovacích zařízení nebo elektrické instalace související se sklem, nalepených fólií, nápisů, malby a jiných výzdob, dále reklamních tabulí, firemních štítů, markýz, butonů, reklamních a jiných nápisů, fasádních obložení vnějších stěn budov, vnější vitríny apod., světelné neónové nápisy a světelné reklamy a nápisy včetně elektroinstalace a nosných rámů a konstrukcí apod.</w:t>
      </w:r>
      <w:r w:rsidR="009F28AC" w:rsidRPr="00CC699F">
        <w:rPr>
          <w:rFonts w:ascii="Arial Narrow" w:hAnsi="Arial Narrow"/>
          <w:sz w:val="20"/>
          <w:szCs w:val="20"/>
        </w:rPr>
        <w:t xml:space="preserve"> </w:t>
      </w:r>
      <w:r w:rsidRPr="00CC699F">
        <w:rPr>
          <w:rFonts w:ascii="Arial Narrow" w:hAnsi="Arial Narrow"/>
          <w:sz w:val="20"/>
          <w:szCs w:val="20"/>
        </w:rPr>
        <w:t>Pojištění se vztahuje také na speciální povrchovou úpravu skla a na náklady spojené se zajištěním lešení či pomocných prostředků sloužících k opravě či výměně pojištěné věci.</w:t>
      </w:r>
      <w:r w:rsidR="00571E6C" w:rsidRPr="00CC699F">
        <w:rPr>
          <w:rFonts w:ascii="Arial Narrow" w:hAnsi="Arial Narrow"/>
          <w:sz w:val="20"/>
          <w:szCs w:val="20"/>
        </w:rPr>
        <w:t xml:space="preserve"> Také se vztahuje na pojištění náhrady skla ve formě plastu (makrolon, plexiglas apod</w:t>
      </w:r>
      <w:r w:rsidR="00833DDC">
        <w:rPr>
          <w:rFonts w:ascii="Arial Narrow" w:hAnsi="Arial Narrow"/>
          <w:sz w:val="20"/>
          <w:szCs w:val="20"/>
        </w:rPr>
        <w:t>.</w:t>
      </w:r>
      <w:r w:rsidR="00571E6C" w:rsidRPr="00CC699F">
        <w:rPr>
          <w:rFonts w:ascii="Arial Narrow" w:hAnsi="Arial Narrow"/>
          <w:sz w:val="20"/>
          <w:szCs w:val="20"/>
        </w:rPr>
        <w:t>)</w:t>
      </w:r>
    </w:p>
    <w:p w14:paraId="0CB316A6" w14:textId="77777777" w:rsidR="00E865A5" w:rsidRDefault="00E865A5" w:rsidP="00CC699F">
      <w:pPr>
        <w:pStyle w:val="Bezmezer"/>
        <w:ind w:left="283"/>
        <w:rPr>
          <w:rFonts w:ascii="Arial Narrow" w:hAnsi="Arial Narrow"/>
          <w:sz w:val="20"/>
          <w:szCs w:val="20"/>
        </w:rPr>
      </w:pPr>
    </w:p>
    <w:p w14:paraId="1927743F" w14:textId="77777777" w:rsidR="00E865A5" w:rsidRPr="00D56E89" w:rsidRDefault="00E865A5" w:rsidP="00F8665B">
      <w:pPr>
        <w:pStyle w:val="Nadpis2"/>
        <w:numPr>
          <w:ilvl w:val="1"/>
          <w:numId w:val="19"/>
        </w:numPr>
        <w:rPr>
          <w:sz w:val="22"/>
        </w:rPr>
      </w:pPr>
      <w:r w:rsidRPr="00D56E89">
        <w:rPr>
          <w:sz w:val="22"/>
        </w:rPr>
        <w:t>Pojištění přepravy</w:t>
      </w:r>
    </w:p>
    <w:p w14:paraId="19A354F4" w14:textId="77777777" w:rsidR="00E865A5" w:rsidRPr="00D56E89" w:rsidRDefault="00E865A5" w:rsidP="00E865A5">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pro riziko sdruženého živlu, odcizení,</w:t>
      </w:r>
      <w:r>
        <w:rPr>
          <w:rFonts w:ascii="Arial Narrow" w:hAnsi="Arial Narrow" w:cs="Arial Narrow"/>
          <w:sz w:val="20"/>
          <w:szCs w:val="20"/>
        </w:rPr>
        <w:t xml:space="preserve"> </w:t>
      </w:r>
      <w:r w:rsidRPr="00D56E89">
        <w:rPr>
          <w:rFonts w:ascii="Arial Narrow" w:hAnsi="Arial Narrow" w:cs="Arial Narrow"/>
          <w:sz w:val="20"/>
          <w:szCs w:val="20"/>
        </w:rPr>
        <w:t>vandalismu včetně škod způsobených při havárii vozidla</w:t>
      </w:r>
    </w:p>
    <w:p w14:paraId="29FED3BB" w14:textId="77777777" w:rsidR="00E865A5" w:rsidRPr="00D56E89" w:rsidRDefault="00E865A5" w:rsidP="00E865A5">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pro </w:t>
      </w:r>
      <w:r>
        <w:rPr>
          <w:rFonts w:ascii="Arial Narrow" w:hAnsi="Arial Narrow" w:cs="Arial Narrow"/>
          <w:sz w:val="20"/>
          <w:szCs w:val="20"/>
        </w:rPr>
        <w:t xml:space="preserve">cennosti </w:t>
      </w:r>
      <w:r w:rsidRPr="00D56E89">
        <w:rPr>
          <w:rFonts w:ascii="Arial Narrow" w:hAnsi="Arial Narrow" w:cs="Arial Narrow"/>
          <w:sz w:val="20"/>
          <w:szCs w:val="20"/>
        </w:rPr>
        <w:t>přepravované vozidly pojistníka / pojištěného, vozidly pronajatými a/nebo vozidly silničního dopravce</w:t>
      </w:r>
    </w:p>
    <w:p w14:paraId="300D8487" w14:textId="7262A2C2" w:rsidR="00E865A5" w:rsidRDefault="00E865A5" w:rsidP="00E865A5">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územní rozsah </w:t>
      </w:r>
      <w:r>
        <w:rPr>
          <w:rFonts w:ascii="Arial Narrow" w:hAnsi="Arial Narrow" w:cs="Arial Narrow"/>
          <w:sz w:val="20"/>
          <w:szCs w:val="20"/>
        </w:rPr>
        <w:t>Česká republika</w:t>
      </w:r>
      <w:r w:rsidR="00FE0984">
        <w:rPr>
          <w:rFonts w:ascii="Arial Narrow" w:hAnsi="Arial Narrow" w:cs="Arial Narrow"/>
          <w:sz w:val="20"/>
          <w:szCs w:val="20"/>
        </w:rPr>
        <w:br/>
      </w:r>
    </w:p>
    <w:p w14:paraId="2D980690" w14:textId="1770661E" w:rsidR="00FE0984" w:rsidRPr="00D56E89" w:rsidRDefault="00FE0984" w:rsidP="00FE0984">
      <w:pPr>
        <w:pStyle w:val="Nadpis2"/>
        <w:numPr>
          <w:ilvl w:val="1"/>
          <w:numId w:val="19"/>
        </w:numPr>
        <w:rPr>
          <w:sz w:val="22"/>
        </w:rPr>
      </w:pPr>
      <w:r w:rsidRPr="00D56E89">
        <w:rPr>
          <w:sz w:val="22"/>
        </w:rPr>
        <w:t xml:space="preserve">Pojištění </w:t>
      </w:r>
      <w:r>
        <w:rPr>
          <w:sz w:val="22"/>
        </w:rPr>
        <w:t>technických rizik</w:t>
      </w:r>
      <w:r w:rsidR="00D16EF1">
        <w:rPr>
          <w:sz w:val="22"/>
        </w:rPr>
        <w:t xml:space="preserve"> (pojištění strojů a elektroniky)</w:t>
      </w:r>
    </w:p>
    <w:p w14:paraId="3C409961" w14:textId="4372A682" w:rsidR="00FE0984" w:rsidRDefault="00FE0984" w:rsidP="00FE0984">
      <w:pPr>
        <w:pStyle w:val="Nadpis2"/>
        <w:numPr>
          <w:ilvl w:val="0"/>
          <w:numId w:val="0"/>
        </w:numPr>
        <w:ind w:left="360"/>
        <w:rPr>
          <w:rFonts w:ascii="Arial Narrow" w:hAnsi="Arial Narrow"/>
          <w:b w:val="0"/>
          <w:bCs w:val="0"/>
          <w:i w:val="0"/>
          <w:iCs w:val="0"/>
          <w:sz w:val="20"/>
          <w:szCs w:val="20"/>
        </w:rPr>
      </w:pPr>
      <w:r w:rsidRPr="00FE0984">
        <w:rPr>
          <w:rFonts w:ascii="Arial Narrow" w:hAnsi="Arial Narrow"/>
          <w:b w:val="0"/>
          <w:bCs w:val="0"/>
          <w:i w:val="0"/>
          <w:iCs w:val="0"/>
          <w:sz w:val="20"/>
          <w:szCs w:val="20"/>
        </w:rPr>
        <w:t xml:space="preserve">Jedná se o pojištění technologie výdejny v nové hodnotě 5 124 138 Kč a technologie prádelny v nové hodnotě 3 022 068 Kč. </w:t>
      </w:r>
      <w:r w:rsidR="00D16EF1">
        <w:rPr>
          <w:rFonts w:ascii="Arial Narrow" w:hAnsi="Arial Narrow"/>
          <w:b w:val="0"/>
          <w:bCs w:val="0"/>
          <w:i w:val="0"/>
          <w:iCs w:val="0"/>
          <w:sz w:val="20"/>
          <w:szCs w:val="20"/>
        </w:rPr>
        <w:br/>
      </w:r>
      <w:r w:rsidR="00D16EF1">
        <w:rPr>
          <w:rFonts w:ascii="Arial Narrow" w:hAnsi="Arial Narrow"/>
          <w:b w:val="0"/>
          <w:bCs w:val="0"/>
          <w:i w:val="0"/>
          <w:iCs w:val="0"/>
          <w:sz w:val="20"/>
          <w:szCs w:val="20"/>
        </w:rPr>
        <w:br/>
        <w:t>Pojištění na 1. riziko, pojistný limit 100 000 Kč</w:t>
      </w:r>
    </w:p>
    <w:p w14:paraId="67F41183" w14:textId="77777777" w:rsidR="00D16EF1" w:rsidRPr="00D16EF1" w:rsidRDefault="00D16EF1" w:rsidP="00D16EF1"/>
    <w:p w14:paraId="11A1EF7C" w14:textId="77777777" w:rsidR="00E865A5" w:rsidRPr="00571E6C" w:rsidRDefault="00E865A5" w:rsidP="00E865A5">
      <w:pPr>
        <w:keepNext/>
        <w:spacing w:before="240" w:after="60"/>
        <w:ind w:left="360"/>
        <w:outlineLvl w:val="1"/>
        <w:rPr>
          <w:rFonts w:ascii="Arial Narrow" w:hAnsi="Arial Narrow" w:cs="Arial Narrow"/>
          <w:color w:val="FF0000"/>
          <w:sz w:val="20"/>
          <w:szCs w:val="20"/>
        </w:rPr>
      </w:pPr>
    </w:p>
    <w:p w14:paraId="2494A1CE" w14:textId="77777777" w:rsidR="00E865A5" w:rsidRPr="00CC699F" w:rsidRDefault="00E865A5" w:rsidP="00CC699F">
      <w:pPr>
        <w:pStyle w:val="Bezmezer"/>
        <w:ind w:left="283"/>
        <w:rPr>
          <w:rFonts w:ascii="Arial Narrow" w:hAnsi="Arial Narrow"/>
          <w:sz w:val="20"/>
          <w:szCs w:val="20"/>
        </w:rPr>
      </w:pPr>
    </w:p>
    <w:p w14:paraId="0D652069" w14:textId="77777777" w:rsidR="004C0E71" w:rsidRPr="00571E6C" w:rsidRDefault="004C0E71" w:rsidP="00883B78">
      <w:pPr>
        <w:keepNext/>
        <w:spacing w:before="240" w:after="60"/>
        <w:ind w:left="360"/>
        <w:outlineLvl w:val="1"/>
        <w:rPr>
          <w:rFonts w:ascii="Arial Narrow" w:hAnsi="Arial Narrow" w:cs="Arial Narrow"/>
          <w:color w:val="FF0000"/>
          <w:sz w:val="20"/>
          <w:szCs w:val="20"/>
        </w:rPr>
      </w:pPr>
    </w:p>
    <w:p w14:paraId="485526E6" w14:textId="2E26A468" w:rsidR="00CB7736" w:rsidRPr="00D56E89" w:rsidRDefault="00CB7736" w:rsidP="003A74E0">
      <w:pPr>
        <w:pStyle w:val="Nadpis2"/>
        <w:numPr>
          <w:ilvl w:val="0"/>
          <w:numId w:val="2"/>
        </w:numPr>
      </w:pPr>
      <w:r w:rsidRPr="00D56E89">
        <w:t>Pojištění odpovědnosti</w:t>
      </w:r>
    </w:p>
    <w:p w14:paraId="05C22817" w14:textId="7888D253" w:rsidR="00571E6C" w:rsidRPr="00571E6C" w:rsidRDefault="00CB7736" w:rsidP="003D18CC">
      <w:pPr>
        <w:keepNext/>
        <w:numPr>
          <w:ilvl w:val="0"/>
          <w:numId w:val="3"/>
        </w:numPr>
        <w:spacing w:before="240" w:after="60"/>
        <w:outlineLvl w:val="1"/>
        <w:rPr>
          <w:rFonts w:ascii="Arial Narrow" w:hAnsi="Arial Narrow" w:cs="Arial Narrow"/>
          <w:sz w:val="20"/>
          <w:szCs w:val="20"/>
        </w:rPr>
      </w:pPr>
      <w:r w:rsidRPr="00571E6C">
        <w:rPr>
          <w:rFonts w:ascii="Arial Narrow" w:hAnsi="Arial Narrow" w:cs="Arial Narrow"/>
          <w:sz w:val="20"/>
          <w:szCs w:val="20"/>
        </w:rPr>
        <w:t>obecná odpovědnost</w:t>
      </w:r>
      <w:r w:rsidR="00125D07" w:rsidRPr="00571E6C">
        <w:rPr>
          <w:rFonts w:ascii="Arial Narrow" w:hAnsi="Arial Narrow" w:cs="Arial Narrow"/>
          <w:sz w:val="20"/>
          <w:szCs w:val="20"/>
        </w:rPr>
        <w:t>,</w:t>
      </w:r>
      <w:r w:rsidR="00571E6C" w:rsidRPr="00571E6C">
        <w:rPr>
          <w:rFonts w:ascii="Arial Narrow" w:hAnsi="Arial Narrow" w:cs="Arial Narrow"/>
          <w:sz w:val="20"/>
          <w:szCs w:val="20"/>
        </w:rPr>
        <w:t xml:space="preserve"> vyplývající </w:t>
      </w:r>
      <w:r w:rsidR="009714E8">
        <w:rPr>
          <w:rFonts w:ascii="Arial Narrow" w:hAnsi="Arial Narrow" w:cs="Arial Narrow"/>
          <w:sz w:val="20"/>
          <w:szCs w:val="20"/>
        </w:rPr>
        <w:t>z</w:t>
      </w:r>
      <w:r w:rsidR="00A26365">
        <w:rPr>
          <w:rFonts w:ascii="Arial Narrow" w:hAnsi="Arial Narrow" w:cs="Arial Narrow"/>
          <w:sz w:val="20"/>
          <w:szCs w:val="20"/>
        </w:rPr>
        <w:t> </w:t>
      </w:r>
      <w:r w:rsidR="00571E6C" w:rsidRPr="00571E6C">
        <w:rPr>
          <w:rFonts w:ascii="Arial Narrow" w:hAnsi="Arial Narrow" w:cs="Arial Narrow"/>
          <w:sz w:val="20"/>
          <w:szCs w:val="20"/>
        </w:rPr>
        <w:t>činnosti</w:t>
      </w:r>
    </w:p>
    <w:p w14:paraId="668A0FAD" w14:textId="63C77977" w:rsidR="009714E8" w:rsidRDefault="009714E8" w:rsidP="009714E8">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 xml:space="preserve">odpovědnosti z vlastnictví, držby, užívání, správy a udržování nemovitostí a nemovitých objektů (pozemků, </w:t>
      </w:r>
      <w:r w:rsidRPr="00F71154">
        <w:rPr>
          <w:rFonts w:ascii="Arial Narrow" w:hAnsi="Arial Narrow" w:cs="Arial Narrow"/>
          <w:sz w:val="20"/>
          <w:szCs w:val="20"/>
        </w:rPr>
        <w:t>komunikací, budov, staveb, prostor apod.), provozu kanceláří a jiných nebytových prostor,</w:t>
      </w:r>
    </w:p>
    <w:p w14:paraId="768BC57C" w14:textId="48F44652" w:rsidR="00CD6E6E" w:rsidRPr="00F71154" w:rsidRDefault="00CD6E6E" w:rsidP="009714E8">
      <w:pPr>
        <w:keepNext/>
        <w:numPr>
          <w:ilvl w:val="0"/>
          <w:numId w:val="3"/>
        </w:numPr>
        <w:spacing w:after="60"/>
        <w:outlineLvl w:val="1"/>
        <w:rPr>
          <w:rFonts w:ascii="Arial Narrow" w:hAnsi="Arial Narrow" w:cs="Arial Narrow"/>
          <w:sz w:val="20"/>
          <w:szCs w:val="20"/>
        </w:rPr>
      </w:pPr>
      <w:r w:rsidRPr="00CD6E6E">
        <w:rPr>
          <w:rFonts w:ascii="Arial Narrow" w:hAnsi="Arial Narrow" w:cs="Arial Narrow"/>
          <w:sz w:val="20"/>
          <w:szCs w:val="20"/>
        </w:rPr>
        <w:t>odpovědnost za škodu/újmu způsobenou závadou ve sjízdnosti</w:t>
      </w:r>
      <w:r w:rsidR="00B851CA">
        <w:rPr>
          <w:rFonts w:ascii="Arial Narrow" w:hAnsi="Arial Narrow" w:cs="Arial Narrow"/>
          <w:sz w:val="20"/>
          <w:szCs w:val="20"/>
        </w:rPr>
        <w:t xml:space="preserve"> </w:t>
      </w:r>
      <w:r w:rsidRPr="00CD6E6E">
        <w:rPr>
          <w:rFonts w:ascii="Arial Narrow" w:hAnsi="Arial Narrow" w:cs="Arial Narrow"/>
          <w:sz w:val="20"/>
          <w:szCs w:val="20"/>
        </w:rPr>
        <w:t>/</w:t>
      </w:r>
      <w:r w:rsidR="00B851CA">
        <w:rPr>
          <w:rFonts w:ascii="Arial Narrow" w:hAnsi="Arial Narrow" w:cs="Arial Narrow"/>
          <w:sz w:val="20"/>
          <w:szCs w:val="20"/>
        </w:rPr>
        <w:t xml:space="preserve"> </w:t>
      </w:r>
      <w:r w:rsidR="00833DDC" w:rsidRPr="00CD6E6E">
        <w:rPr>
          <w:rFonts w:ascii="Arial Narrow" w:hAnsi="Arial Narrow" w:cs="Arial Narrow"/>
          <w:sz w:val="20"/>
          <w:szCs w:val="20"/>
        </w:rPr>
        <w:t>schůdnosti pozemní</w:t>
      </w:r>
      <w:r w:rsidRPr="00CD6E6E">
        <w:rPr>
          <w:rFonts w:ascii="Arial Narrow" w:hAnsi="Arial Narrow" w:cs="Arial Narrow"/>
          <w:sz w:val="20"/>
          <w:szCs w:val="20"/>
        </w:rPr>
        <w:t xml:space="preserve"> komunikace dle zákona 13/1997 </w:t>
      </w:r>
      <w:r w:rsidR="00833DDC" w:rsidRPr="00CD6E6E">
        <w:rPr>
          <w:rFonts w:ascii="Arial Narrow" w:hAnsi="Arial Narrow" w:cs="Arial Narrow"/>
          <w:sz w:val="20"/>
          <w:szCs w:val="20"/>
        </w:rPr>
        <w:t>Sb – odpovědnost</w:t>
      </w:r>
      <w:r w:rsidRPr="00CD6E6E">
        <w:rPr>
          <w:rFonts w:ascii="Arial Narrow" w:hAnsi="Arial Narrow" w:cs="Arial Narrow"/>
          <w:sz w:val="20"/>
          <w:szCs w:val="20"/>
        </w:rPr>
        <w:t xml:space="preserve"> vlastníka komunikace</w:t>
      </w:r>
    </w:p>
    <w:p w14:paraId="5A3C650E" w14:textId="5A5B7CAB" w:rsidR="009714E8" w:rsidRDefault="009714E8" w:rsidP="009714E8">
      <w:pPr>
        <w:keepNext/>
        <w:numPr>
          <w:ilvl w:val="0"/>
          <w:numId w:val="3"/>
        </w:numPr>
        <w:spacing w:after="60"/>
        <w:outlineLvl w:val="1"/>
        <w:rPr>
          <w:rFonts w:ascii="Arial Narrow" w:hAnsi="Arial Narrow" w:cs="Arial Narrow"/>
          <w:sz w:val="20"/>
          <w:szCs w:val="20"/>
        </w:rPr>
      </w:pPr>
      <w:r w:rsidRPr="00F71154">
        <w:rPr>
          <w:rFonts w:ascii="Arial Narrow" w:hAnsi="Arial Narrow" w:cs="Arial Narrow"/>
          <w:sz w:val="20"/>
          <w:szCs w:val="20"/>
        </w:rPr>
        <w:t>následné finanční škody</w:t>
      </w:r>
    </w:p>
    <w:p w14:paraId="02CA81FF" w14:textId="7B018090" w:rsidR="00BE681E" w:rsidRPr="00BE681E" w:rsidRDefault="00BE681E" w:rsidP="00BE681E">
      <w:pPr>
        <w:keepNext/>
        <w:numPr>
          <w:ilvl w:val="0"/>
          <w:numId w:val="3"/>
        </w:numPr>
        <w:spacing w:after="60"/>
        <w:outlineLvl w:val="1"/>
        <w:rPr>
          <w:rFonts w:ascii="Arial Narrow" w:hAnsi="Arial Narrow" w:cs="Arial Narrow"/>
          <w:sz w:val="20"/>
          <w:szCs w:val="20"/>
        </w:rPr>
      </w:pPr>
      <w:r>
        <w:rPr>
          <w:rFonts w:ascii="Arial Narrow" w:hAnsi="Arial Narrow" w:cs="Arial Narrow"/>
          <w:sz w:val="20"/>
          <w:szCs w:val="20"/>
        </w:rPr>
        <w:t>č</w:t>
      </w:r>
      <w:r w:rsidRPr="00BF0D6E">
        <w:rPr>
          <w:rFonts w:ascii="Arial Narrow" w:hAnsi="Arial Narrow" w:cs="Arial Narrow"/>
          <w:sz w:val="20"/>
          <w:szCs w:val="20"/>
        </w:rPr>
        <w:t xml:space="preserve">istá finanční </w:t>
      </w:r>
      <w:r w:rsidR="00833DDC" w:rsidRPr="00BF0D6E">
        <w:rPr>
          <w:rFonts w:ascii="Arial Narrow" w:hAnsi="Arial Narrow" w:cs="Arial Narrow"/>
          <w:sz w:val="20"/>
          <w:szCs w:val="20"/>
        </w:rPr>
        <w:t>škoda</w:t>
      </w:r>
      <w:r w:rsidR="00833DDC">
        <w:rPr>
          <w:rFonts w:ascii="Arial Narrow" w:hAnsi="Arial Narrow" w:cs="Arial Narrow"/>
          <w:sz w:val="20"/>
          <w:szCs w:val="20"/>
        </w:rPr>
        <w:t xml:space="preserve"> </w:t>
      </w:r>
      <w:r w:rsidR="00833DDC" w:rsidRPr="00BF0D6E">
        <w:rPr>
          <w:rFonts w:ascii="Arial Narrow" w:hAnsi="Arial Narrow" w:cs="Arial Narrow"/>
          <w:sz w:val="20"/>
          <w:szCs w:val="20"/>
        </w:rPr>
        <w:t>– škoda</w:t>
      </w:r>
      <w:r w:rsidRPr="00BF0D6E">
        <w:rPr>
          <w:rFonts w:ascii="Arial Narrow" w:hAnsi="Arial Narrow" w:cs="Arial Narrow"/>
          <w:sz w:val="20"/>
          <w:szCs w:val="20"/>
        </w:rPr>
        <w:t xml:space="preserve"> vzniklá jinak než na majetku, životě či zdraví cizích osob.</w:t>
      </w:r>
    </w:p>
    <w:p w14:paraId="6FE42587" w14:textId="7F98728A" w:rsidR="009714E8" w:rsidRPr="00F71154" w:rsidRDefault="00F71154" w:rsidP="009714E8">
      <w:pPr>
        <w:keepNext/>
        <w:numPr>
          <w:ilvl w:val="0"/>
          <w:numId w:val="3"/>
        </w:numPr>
        <w:spacing w:after="60"/>
        <w:outlineLvl w:val="1"/>
        <w:rPr>
          <w:rFonts w:ascii="Arial Narrow" w:hAnsi="Arial Narrow" w:cs="Arial Narrow"/>
          <w:sz w:val="20"/>
          <w:szCs w:val="20"/>
        </w:rPr>
      </w:pPr>
      <w:r w:rsidRPr="00F71154">
        <w:rPr>
          <w:rFonts w:ascii="Arial Narrow" w:hAnsi="Arial Narrow" w:cs="Arial"/>
          <w:bCs/>
          <w:sz w:val="20"/>
          <w:szCs w:val="20"/>
        </w:rPr>
        <w:t xml:space="preserve">čistá finanční </w:t>
      </w:r>
      <w:r w:rsidR="00833DDC" w:rsidRPr="00F71154">
        <w:rPr>
          <w:rFonts w:ascii="Arial Narrow" w:hAnsi="Arial Narrow" w:cs="Arial"/>
          <w:bCs/>
          <w:sz w:val="20"/>
          <w:szCs w:val="20"/>
        </w:rPr>
        <w:t>škoda – odpovědnost</w:t>
      </w:r>
      <w:r w:rsidRPr="00F71154">
        <w:rPr>
          <w:rFonts w:ascii="Arial Narrow" w:hAnsi="Arial Narrow" w:cs="Arial"/>
          <w:bCs/>
          <w:sz w:val="20"/>
          <w:szCs w:val="20"/>
        </w:rPr>
        <w:t xml:space="preserve"> za škodu/újmu </w:t>
      </w:r>
      <w:r w:rsidR="00833DDC" w:rsidRPr="00F71154">
        <w:rPr>
          <w:rFonts w:ascii="Arial Narrow" w:hAnsi="Arial Narrow" w:cs="Arial"/>
          <w:bCs/>
          <w:sz w:val="20"/>
          <w:szCs w:val="20"/>
        </w:rPr>
        <w:t>způsobenou jinému</w:t>
      </w:r>
      <w:r w:rsidRPr="00F71154">
        <w:rPr>
          <w:rFonts w:ascii="Arial Narrow" w:hAnsi="Arial Narrow" w:cs="Arial"/>
          <w:bCs/>
          <w:sz w:val="20"/>
          <w:szCs w:val="20"/>
        </w:rPr>
        <w:t xml:space="preserve"> členy zastupitelstva/rady, </w:t>
      </w:r>
      <w:r w:rsidR="00833DDC" w:rsidRPr="00F71154">
        <w:rPr>
          <w:rFonts w:ascii="Arial Narrow" w:hAnsi="Arial Narrow" w:cs="Arial"/>
          <w:bCs/>
          <w:sz w:val="20"/>
          <w:szCs w:val="20"/>
        </w:rPr>
        <w:t>případně jejich</w:t>
      </w:r>
      <w:r w:rsidRPr="00F71154">
        <w:rPr>
          <w:rFonts w:ascii="Arial Narrow" w:hAnsi="Arial Narrow" w:cs="Arial"/>
          <w:bCs/>
          <w:sz w:val="20"/>
          <w:szCs w:val="20"/>
        </w:rPr>
        <w:t xml:space="preserve"> fun</w:t>
      </w:r>
      <w:r>
        <w:rPr>
          <w:rFonts w:ascii="Arial Narrow" w:hAnsi="Arial Narrow" w:cs="Arial"/>
          <w:bCs/>
          <w:sz w:val="20"/>
          <w:szCs w:val="20"/>
        </w:rPr>
        <w:t>k</w:t>
      </w:r>
      <w:r w:rsidRPr="00F71154">
        <w:rPr>
          <w:rFonts w:ascii="Arial Narrow" w:hAnsi="Arial Narrow" w:cs="Arial"/>
          <w:bCs/>
          <w:sz w:val="20"/>
          <w:szCs w:val="20"/>
        </w:rPr>
        <w:t xml:space="preserve">cí </w:t>
      </w:r>
      <w:r w:rsidR="00833DDC" w:rsidRPr="00F71154">
        <w:rPr>
          <w:rFonts w:ascii="Arial Narrow" w:hAnsi="Arial Narrow" w:cs="Arial"/>
          <w:bCs/>
          <w:sz w:val="20"/>
          <w:szCs w:val="20"/>
        </w:rPr>
        <w:t>vyplývající z</w:t>
      </w:r>
      <w:r w:rsidRPr="00F71154">
        <w:rPr>
          <w:rFonts w:ascii="Arial Narrow" w:hAnsi="Arial Narrow" w:cs="Arial"/>
          <w:bCs/>
          <w:sz w:val="20"/>
          <w:szCs w:val="20"/>
        </w:rPr>
        <w:t xml:space="preserve"> členství v zastupitelstvu, členové výborů a komisí zřizovaných obcí </w:t>
      </w:r>
    </w:p>
    <w:p w14:paraId="7AC0C40D" w14:textId="5A523042" w:rsidR="00F71154" w:rsidRPr="00BE681E" w:rsidRDefault="00F71154" w:rsidP="009714E8">
      <w:pPr>
        <w:keepNext/>
        <w:numPr>
          <w:ilvl w:val="0"/>
          <w:numId w:val="3"/>
        </w:numPr>
        <w:spacing w:after="60"/>
        <w:outlineLvl w:val="1"/>
        <w:rPr>
          <w:rFonts w:ascii="Arial Narrow" w:hAnsi="Arial Narrow" w:cs="Arial Narrow"/>
          <w:sz w:val="20"/>
          <w:szCs w:val="20"/>
        </w:rPr>
      </w:pPr>
      <w:r w:rsidRPr="00F71154">
        <w:rPr>
          <w:rFonts w:ascii="Arial Narrow" w:hAnsi="Arial Narrow" w:cs="Arial Narrow"/>
          <w:sz w:val="20"/>
          <w:szCs w:val="20"/>
        </w:rPr>
        <w:t xml:space="preserve">čistá finanční </w:t>
      </w:r>
      <w:r w:rsidR="00833DDC" w:rsidRPr="00F71154">
        <w:rPr>
          <w:rFonts w:ascii="Arial Narrow" w:hAnsi="Arial Narrow" w:cs="Arial Narrow"/>
          <w:sz w:val="20"/>
          <w:szCs w:val="20"/>
        </w:rPr>
        <w:t>škoda – odpovědnost</w:t>
      </w:r>
      <w:r w:rsidRPr="00F71154">
        <w:rPr>
          <w:rFonts w:ascii="Arial Narrow" w:hAnsi="Arial Narrow" w:cs="Arial Narrow"/>
          <w:sz w:val="20"/>
          <w:szCs w:val="20"/>
        </w:rPr>
        <w:t xml:space="preserve"> za škodu/újmu způsobenou nezákonným </w:t>
      </w:r>
      <w:r w:rsidR="00833DDC" w:rsidRPr="00F71154">
        <w:rPr>
          <w:rFonts w:ascii="Arial Narrow" w:hAnsi="Arial Narrow" w:cs="Arial Narrow"/>
          <w:sz w:val="20"/>
          <w:szCs w:val="20"/>
        </w:rPr>
        <w:t>rozhodnutím, nesprávným</w:t>
      </w:r>
      <w:r w:rsidRPr="00F71154">
        <w:rPr>
          <w:rFonts w:ascii="Arial Narrow" w:hAnsi="Arial Narrow" w:cs="Arial Narrow"/>
          <w:sz w:val="20"/>
          <w:szCs w:val="20"/>
        </w:rPr>
        <w:t xml:space="preserve"> úředním postupem obce při výkonu veřejné správy v přenesené a samostatné působnosti</w:t>
      </w:r>
      <w:r w:rsidRPr="00F71154">
        <w:rPr>
          <w:rFonts w:ascii="Arial Narrow" w:hAnsi="Arial Narrow" w:cs="Arial"/>
          <w:bCs/>
          <w:sz w:val="20"/>
          <w:szCs w:val="20"/>
        </w:rPr>
        <w:t xml:space="preserve"> </w:t>
      </w:r>
      <w:r w:rsidRPr="002568D8">
        <w:rPr>
          <w:rFonts w:ascii="Arial Narrow" w:hAnsi="Arial Narrow" w:cs="Arial"/>
          <w:bCs/>
          <w:sz w:val="20"/>
          <w:szCs w:val="20"/>
        </w:rPr>
        <w:t>postupem (dle zákona č. 82/1998 Sb. v platném znění a zákona České národní rady č. 358/1992 Sb)</w:t>
      </w:r>
    </w:p>
    <w:p w14:paraId="5D8E8B78" w14:textId="7167F845" w:rsidR="00BE681E" w:rsidRPr="00BE681E" w:rsidRDefault="00BE681E" w:rsidP="009714E8">
      <w:pPr>
        <w:keepNext/>
        <w:numPr>
          <w:ilvl w:val="0"/>
          <w:numId w:val="3"/>
        </w:numPr>
        <w:spacing w:after="60"/>
        <w:outlineLvl w:val="1"/>
        <w:rPr>
          <w:rFonts w:ascii="Arial Narrow" w:hAnsi="Arial Narrow" w:cs="Arial Narrow"/>
          <w:sz w:val="20"/>
          <w:szCs w:val="20"/>
        </w:rPr>
      </w:pPr>
      <w:r w:rsidRPr="00BE681E">
        <w:rPr>
          <w:rFonts w:ascii="Arial Narrow" w:hAnsi="Arial Narrow" w:cs="Arial"/>
          <w:bCs/>
          <w:sz w:val="20"/>
          <w:szCs w:val="20"/>
        </w:rPr>
        <w:t xml:space="preserve">odpovědnost za škodu ve smyslu </w:t>
      </w:r>
      <w:r w:rsidRPr="002568D8">
        <w:rPr>
          <w:rFonts w:ascii="Arial Narrow" w:hAnsi="Arial Narrow" w:cs="Arial"/>
          <w:bCs/>
          <w:sz w:val="20"/>
          <w:szCs w:val="20"/>
        </w:rPr>
        <w:t>zákona č. 111/2006 Sb</w:t>
      </w:r>
      <w:r w:rsidRPr="00BE681E">
        <w:rPr>
          <w:rFonts w:ascii="Arial Narrow" w:hAnsi="Arial Narrow" w:cs="Arial"/>
          <w:bCs/>
          <w:color w:val="FF0000"/>
          <w:sz w:val="20"/>
          <w:szCs w:val="20"/>
        </w:rPr>
        <w:t xml:space="preserve">, </w:t>
      </w:r>
      <w:r w:rsidRPr="00BE681E">
        <w:rPr>
          <w:rFonts w:ascii="Arial Narrow" w:hAnsi="Arial Narrow" w:cs="Arial"/>
          <w:bCs/>
          <w:sz w:val="20"/>
          <w:szCs w:val="20"/>
        </w:rPr>
        <w:t>o pomoci v hmotné nouzi a ve znění pozdějších předpisů</w:t>
      </w:r>
      <w:r w:rsidR="00CD6E6E">
        <w:rPr>
          <w:rFonts w:ascii="Arial Narrow" w:hAnsi="Arial Narrow" w:cs="Arial"/>
          <w:bCs/>
          <w:sz w:val="20"/>
          <w:szCs w:val="20"/>
        </w:rPr>
        <w:t xml:space="preserve"> – škoda/újma na majetku, životě či zdraví osobě (či osobou) vykonávající veřejnou službu.</w:t>
      </w:r>
      <w:r w:rsidR="00452A07" w:rsidRPr="00452A07">
        <w:t xml:space="preserve"> </w:t>
      </w:r>
      <w:r w:rsidR="00452A07">
        <w:t>P</w:t>
      </w:r>
      <w:r w:rsidR="00452A07" w:rsidRPr="00452A07">
        <w:rPr>
          <w:rFonts w:ascii="Arial Narrow" w:hAnsi="Arial Narrow" w:cs="Arial"/>
          <w:bCs/>
          <w:sz w:val="20"/>
          <w:szCs w:val="20"/>
        </w:rPr>
        <w:t xml:space="preserve">ojištěným je i Česká </w:t>
      </w:r>
      <w:r w:rsidR="00833DDC" w:rsidRPr="00452A07">
        <w:rPr>
          <w:rFonts w:ascii="Arial Narrow" w:hAnsi="Arial Narrow" w:cs="Arial"/>
          <w:bCs/>
          <w:sz w:val="20"/>
          <w:szCs w:val="20"/>
        </w:rPr>
        <w:t>republika – Úřad</w:t>
      </w:r>
      <w:r w:rsidR="00452A07" w:rsidRPr="00452A07">
        <w:rPr>
          <w:rFonts w:ascii="Arial Narrow" w:hAnsi="Arial Narrow" w:cs="Arial"/>
          <w:bCs/>
          <w:sz w:val="20"/>
          <w:szCs w:val="20"/>
        </w:rPr>
        <w:t xml:space="preserve"> práce České republiky se sídlem Karlovo náměstí 1359/1, Nové Město, 128 00 Praha 28, IČ: 72496991</w:t>
      </w:r>
    </w:p>
    <w:p w14:paraId="2C0FAC6E" w14:textId="3D49C66B" w:rsidR="009714E8" w:rsidRPr="009714E8" w:rsidRDefault="009714E8" w:rsidP="009714E8">
      <w:pPr>
        <w:keepNext/>
        <w:numPr>
          <w:ilvl w:val="0"/>
          <w:numId w:val="3"/>
        </w:numPr>
        <w:spacing w:after="60"/>
        <w:outlineLvl w:val="1"/>
        <w:rPr>
          <w:rFonts w:ascii="Arial Narrow" w:hAnsi="Arial Narrow" w:cs="Arial Narrow"/>
          <w:sz w:val="20"/>
          <w:szCs w:val="20"/>
        </w:rPr>
      </w:pPr>
      <w:r w:rsidRPr="009714E8">
        <w:rPr>
          <w:rFonts w:ascii="Arial Narrow" w:hAnsi="Arial Narrow" w:cs="Arial Narrow"/>
          <w:sz w:val="20"/>
          <w:szCs w:val="20"/>
        </w:rPr>
        <w:t xml:space="preserve">Ochrana </w:t>
      </w:r>
      <w:r w:rsidR="00833DDC" w:rsidRPr="009714E8">
        <w:rPr>
          <w:rFonts w:ascii="Arial Narrow" w:hAnsi="Arial Narrow" w:cs="Arial Narrow"/>
          <w:sz w:val="20"/>
          <w:szCs w:val="20"/>
        </w:rPr>
        <w:t>osobnosti – náhrady</w:t>
      </w:r>
      <w:r w:rsidRPr="009714E8">
        <w:rPr>
          <w:rFonts w:ascii="Arial Narrow" w:hAnsi="Arial Narrow" w:cs="Arial Narrow"/>
          <w:sz w:val="20"/>
          <w:szCs w:val="20"/>
        </w:rPr>
        <w:t xml:space="preserve"> újmy způsobené neoprávněným zásahem pojištěného do práva na ochranu osobnosti člověka nebo právní osobnosti právnické osoby, je-li povinnost pojištěného k její náhradě dána pravomocným soudním rozhodnutím</w:t>
      </w:r>
    </w:p>
    <w:p w14:paraId="0488A85E" w14:textId="77777777" w:rsidR="00CB7736" w:rsidRPr="00D56E89" w:rsidRDefault="00CB7736" w:rsidP="000F6CBB">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odpovědnost za škodu</w:t>
      </w:r>
      <w:r w:rsidR="00883B78" w:rsidRPr="00D56E89">
        <w:rPr>
          <w:rFonts w:ascii="Arial Narrow" w:hAnsi="Arial Narrow" w:cs="Arial Narrow"/>
          <w:sz w:val="20"/>
          <w:szCs w:val="20"/>
        </w:rPr>
        <w:t>/újmu</w:t>
      </w:r>
      <w:r w:rsidRPr="00D56E89">
        <w:rPr>
          <w:rFonts w:ascii="Arial Narrow" w:hAnsi="Arial Narrow" w:cs="Arial Narrow"/>
          <w:sz w:val="20"/>
          <w:szCs w:val="20"/>
        </w:rPr>
        <w:t xml:space="preserve"> způsobenou vadou výrobku</w:t>
      </w:r>
      <w:r w:rsidR="0097715C" w:rsidRPr="00D56E89">
        <w:rPr>
          <w:rFonts w:ascii="Arial Narrow" w:hAnsi="Arial Narrow" w:cs="Arial Narrow"/>
          <w:sz w:val="20"/>
          <w:szCs w:val="20"/>
        </w:rPr>
        <w:t xml:space="preserve"> a vadou práce </w:t>
      </w:r>
      <w:r w:rsidR="000F6CBB" w:rsidRPr="00D56E89">
        <w:rPr>
          <w:rFonts w:ascii="Arial Narrow" w:hAnsi="Arial Narrow" w:cs="Arial Narrow"/>
          <w:sz w:val="20"/>
          <w:szCs w:val="20"/>
        </w:rPr>
        <w:t>(včetně stravování)</w:t>
      </w:r>
      <w:r w:rsidRPr="00D56E89">
        <w:rPr>
          <w:rFonts w:ascii="Arial Narrow" w:hAnsi="Arial Narrow" w:cs="Arial Narrow"/>
          <w:sz w:val="20"/>
          <w:szCs w:val="20"/>
        </w:rPr>
        <w:t xml:space="preserve">, </w:t>
      </w:r>
    </w:p>
    <w:p w14:paraId="36521818" w14:textId="267B0CED" w:rsidR="00CB7736" w:rsidRDefault="0097715C" w:rsidP="00CB7736">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n</w:t>
      </w:r>
      <w:r w:rsidR="00B851CA" w:rsidRPr="00C419E2">
        <w:rPr>
          <w:rFonts w:ascii="Arial Narrow" w:hAnsi="Arial Narrow" w:cs="Arial Narrow"/>
          <w:sz w:val="20"/>
          <w:szCs w:val="20"/>
        </w:rPr>
        <w:t xml:space="preserve">áhrada nákladů vynaložených zdravotní pojišťovnou na zdravotní péči </w:t>
      </w:r>
      <w:r w:rsidR="00F71EDB" w:rsidRPr="00D56E89">
        <w:rPr>
          <w:rFonts w:ascii="Arial Narrow" w:hAnsi="Arial Narrow" w:cs="Arial Narrow"/>
          <w:sz w:val="20"/>
          <w:szCs w:val="20"/>
        </w:rPr>
        <w:t xml:space="preserve">a </w:t>
      </w:r>
      <w:r w:rsidR="00B851CA">
        <w:rPr>
          <w:rFonts w:ascii="Arial Narrow" w:hAnsi="Arial Narrow" w:cs="Arial Narrow"/>
          <w:sz w:val="20"/>
          <w:szCs w:val="20"/>
        </w:rPr>
        <w:t>p</w:t>
      </w:r>
      <w:r w:rsidR="00B851CA" w:rsidRPr="00C419E2">
        <w:rPr>
          <w:rFonts w:ascii="Arial Narrow" w:hAnsi="Arial Narrow" w:cs="Arial Narrow"/>
          <w:sz w:val="20"/>
          <w:szCs w:val="20"/>
        </w:rPr>
        <w:t xml:space="preserve">ojištění se vztahuje též na případy nároku orgánu sociálního zabezpečení vůči pojištěnému na regresní náhradu dle §126 zákona č. 187/2006 Sb., o nemocenském </w:t>
      </w:r>
      <w:r w:rsidR="00833DDC" w:rsidRPr="00C419E2">
        <w:rPr>
          <w:rFonts w:ascii="Arial Narrow" w:hAnsi="Arial Narrow" w:cs="Arial Narrow"/>
          <w:sz w:val="20"/>
          <w:szCs w:val="20"/>
        </w:rPr>
        <w:t>pojištění</w:t>
      </w:r>
      <w:r w:rsidR="00833DDC">
        <w:rPr>
          <w:rFonts w:ascii="Arial Narrow" w:hAnsi="Arial Narrow" w:cs="Arial Narrow"/>
          <w:sz w:val="20"/>
          <w:szCs w:val="20"/>
        </w:rPr>
        <w:t xml:space="preserve"> třetí</w:t>
      </w:r>
      <w:r w:rsidR="009714E8">
        <w:rPr>
          <w:rFonts w:ascii="Arial Narrow" w:hAnsi="Arial Narrow" w:cs="Arial Narrow"/>
          <w:sz w:val="20"/>
          <w:szCs w:val="20"/>
        </w:rPr>
        <w:t xml:space="preserve"> osoby </w:t>
      </w:r>
    </w:p>
    <w:p w14:paraId="7E8C6D31" w14:textId="77777777" w:rsidR="00C419E2" w:rsidRPr="00C419E2" w:rsidRDefault="00C419E2" w:rsidP="00C419E2">
      <w:pPr>
        <w:keepNext/>
        <w:numPr>
          <w:ilvl w:val="0"/>
          <w:numId w:val="3"/>
        </w:numPr>
        <w:spacing w:after="60"/>
        <w:outlineLvl w:val="1"/>
        <w:rPr>
          <w:rFonts w:ascii="Arial Narrow" w:hAnsi="Arial Narrow" w:cs="Arial Narrow"/>
          <w:sz w:val="20"/>
          <w:szCs w:val="20"/>
        </w:rPr>
      </w:pPr>
      <w:bookmarkStart w:id="3" w:name="_Hlk36191766"/>
      <w:r w:rsidRPr="00C419E2">
        <w:rPr>
          <w:rFonts w:ascii="Arial Narrow" w:hAnsi="Arial Narrow" w:cs="Arial Narrow"/>
          <w:sz w:val="20"/>
          <w:szCs w:val="20"/>
        </w:rPr>
        <w:t xml:space="preserve">Náhrada nákladů vynaložených zdravotní pojišťovnou na zdravotní péči </w:t>
      </w:r>
      <w:bookmarkEnd w:id="3"/>
      <w:r w:rsidRPr="00C419E2">
        <w:rPr>
          <w:rFonts w:ascii="Arial Narrow" w:hAnsi="Arial Narrow" w:cs="Arial Narrow"/>
          <w:sz w:val="20"/>
          <w:szCs w:val="20"/>
        </w:rPr>
        <w:t>ve prospěch zaměstnance.</w:t>
      </w:r>
    </w:p>
    <w:p w14:paraId="184EF81B" w14:textId="6C45E34A" w:rsidR="00C419E2" w:rsidRDefault="00C419E2" w:rsidP="00C419E2">
      <w:pPr>
        <w:keepNext/>
        <w:numPr>
          <w:ilvl w:val="0"/>
          <w:numId w:val="3"/>
        </w:numPr>
        <w:spacing w:after="60"/>
        <w:outlineLvl w:val="1"/>
        <w:rPr>
          <w:rFonts w:ascii="Arial Narrow" w:hAnsi="Arial Narrow" w:cs="Arial Narrow"/>
          <w:sz w:val="20"/>
          <w:szCs w:val="20"/>
        </w:rPr>
      </w:pPr>
      <w:r w:rsidRPr="00C419E2">
        <w:rPr>
          <w:rFonts w:ascii="Arial Narrow" w:hAnsi="Arial Narrow" w:cs="Arial Narrow"/>
          <w:sz w:val="20"/>
          <w:szCs w:val="20"/>
        </w:rPr>
        <w:t>Pojištění se vztahuje též na případy nároku orgánu sociálního zabezpečení vůči pojištěnému na regresní náhradu dle §126 zákona č. 187/2006 Sb., o nemocenském pojištění.</w:t>
      </w:r>
    </w:p>
    <w:p w14:paraId="067329F6" w14:textId="5DBAF5C7" w:rsidR="0097715C" w:rsidRPr="00D56E89" w:rsidRDefault="00CB7736" w:rsidP="00CB7736">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odpovědnost za věci převzaté za účelem provedení objednané činnosti</w:t>
      </w:r>
      <w:r w:rsidR="00125D07">
        <w:rPr>
          <w:rFonts w:ascii="Arial Narrow" w:hAnsi="Arial Narrow" w:cs="Arial Narrow"/>
          <w:sz w:val="20"/>
          <w:szCs w:val="20"/>
        </w:rPr>
        <w:t>,</w:t>
      </w:r>
      <w:r w:rsidR="00C419E2" w:rsidRPr="00C419E2">
        <w:rPr>
          <w:rFonts w:ascii="Arial Narrow" w:hAnsi="Arial Narrow" w:cs="Arial Narrow"/>
          <w:sz w:val="20"/>
          <w:szCs w:val="20"/>
        </w:rPr>
        <w:t xml:space="preserve"> </w:t>
      </w:r>
      <w:r w:rsidR="00C419E2" w:rsidRPr="00D56E89">
        <w:rPr>
          <w:rFonts w:ascii="Arial Narrow" w:hAnsi="Arial Narrow" w:cs="Arial Narrow"/>
          <w:sz w:val="20"/>
          <w:szCs w:val="20"/>
        </w:rPr>
        <w:t>za věci užívané</w:t>
      </w:r>
      <w:r w:rsidR="00C419E2">
        <w:rPr>
          <w:rFonts w:ascii="Arial Narrow" w:hAnsi="Arial Narrow" w:cs="Arial Narrow"/>
          <w:sz w:val="20"/>
          <w:szCs w:val="20"/>
        </w:rPr>
        <w:t>, včetně nemovitých objektů</w:t>
      </w:r>
      <w:r w:rsidR="00A26365">
        <w:rPr>
          <w:rFonts w:ascii="Arial Narrow" w:hAnsi="Arial Narrow" w:cs="Arial Narrow"/>
          <w:sz w:val="20"/>
          <w:szCs w:val="20"/>
        </w:rPr>
        <w:t>,</w:t>
      </w:r>
      <w:r w:rsidR="00A455B9">
        <w:rPr>
          <w:rFonts w:ascii="Arial Narrow" w:hAnsi="Arial Narrow" w:cs="Arial Narrow"/>
          <w:sz w:val="20"/>
          <w:szCs w:val="20"/>
        </w:rPr>
        <w:t xml:space="preserve"> vnesené a odložené </w:t>
      </w:r>
      <w:r w:rsidR="00A455B9" w:rsidRPr="00D56E89">
        <w:rPr>
          <w:rFonts w:ascii="Arial Narrow" w:hAnsi="Arial Narrow" w:cs="Arial Narrow"/>
          <w:sz w:val="20"/>
          <w:szCs w:val="20"/>
        </w:rPr>
        <w:t>v šatnách a/nebo místech k tomu určených</w:t>
      </w:r>
      <w:r w:rsidR="00A455B9">
        <w:rPr>
          <w:rFonts w:ascii="Arial Narrow" w:hAnsi="Arial Narrow" w:cs="Arial Narrow"/>
          <w:sz w:val="20"/>
          <w:szCs w:val="20"/>
        </w:rPr>
        <w:t>,</w:t>
      </w:r>
      <w:r w:rsidR="00A26365">
        <w:rPr>
          <w:rFonts w:ascii="Arial Narrow" w:hAnsi="Arial Narrow" w:cs="Arial Narrow"/>
          <w:sz w:val="20"/>
          <w:szCs w:val="20"/>
        </w:rPr>
        <w:t xml:space="preserve"> včetně odcizení krádeží/loupeží</w:t>
      </w:r>
      <w:r w:rsidR="00A455B9">
        <w:rPr>
          <w:rFonts w:ascii="Arial Narrow" w:hAnsi="Arial Narrow" w:cs="Arial Narrow"/>
          <w:sz w:val="20"/>
          <w:szCs w:val="20"/>
        </w:rPr>
        <w:t>, v</w:t>
      </w:r>
      <w:r w:rsidR="00A455B9" w:rsidRPr="00A455B9">
        <w:rPr>
          <w:rFonts w:ascii="Arial Narrow" w:hAnsi="Arial Narrow" w:cs="Arial Narrow"/>
          <w:sz w:val="20"/>
          <w:szCs w:val="20"/>
        </w:rPr>
        <w:t>četně škody na dopravních prostředcích a jejich příslušenství umístěných v garážích či jiných podnicích podobného druhu provozovaných pojištěným</w:t>
      </w:r>
      <w:r w:rsidR="00C17979">
        <w:rPr>
          <w:rFonts w:ascii="Arial Narrow" w:hAnsi="Arial Narrow" w:cs="Arial Narrow"/>
          <w:sz w:val="20"/>
          <w:szCs w:val="20"/>
        </w:rPr>
        <w:t>; odpovědnost</w:t>
      </w:r>
      <w:r w:rsidR="00A455B9" w:rsidRPr="00A455B9">
        <w:rPr>
          <w:rFonts w:ascii="Arial Narrow" w:hAnsi="Arial Narrow" w:cs="Arial Narrow"/>
          <w:sz w:val="20"/>
          <w:szCs w:val="20"/>
        </w:rPr>
        <w:t xml:space="preserve"> pojištěného za škodu/újmu v souvislosti s krádeží vloupáním, loupežným přepadením -</w:t>
      </w:r>
      <w:r w:rsidR="00A455B9">
        <w:rPr>
          <w:rFonts w:ascii="Arial Narrow" w:hAnsi="Arial Narrow" w:cs="Arial Narrow"/>
          <w:sz w:val="20"/>
          <w:szCs w:val="20"/>
        </w:rPr>
        <w:t xml:space="preserve"> </w:t>
      </w:r>
      <w:r w:rsidR="00A455B9" w:rsidRPr="00A455B9">
        <w:rPr>
          <w:rFonts w:ascii="Arial Narrow" w:hAnsi="Arial Narrow" w:cs="Arial Narrow"/>
          <w:sz w:val="20"/>
          <w:szCs w:val="20"/>
        </w:rPr>
        <w:t>o</w:t>
      </w:r>
      <w:r w:rsidR="00A455B9">
        <w:rPr>
          <w:rFonts w:ascii="Arial Narrow" w:hAnsi="Arial Narrow" w:cs="Arial Narrow"/>
          <w:sz w:val="20"/>
          <w:szCs w:val="20"/>
        </w:rPr>
        <w:t>d</w:t>
      </w:r>
      <w:r w:rsidR="00A455B9" w:rsidRPr="00A455B9">
        <w:rPr>
          <w:rFonts w:ascii="Arial Narrow" w:hAnsi="Arial Narrow" w:cs="Arial Narrow"/>
          <w:sz w:val="20"/>
          <w:szCs w:val="20"/>
        </w:rPr>
        <w:t>cizení věcí z uzamčeného místa</w:t>
      </w:r>
    </w:p>
    <w:p w14:paraId="0B1D82A9" w14:textId="5C41CAB6" w:rsidR="0097715C" w:rsidRDefault="00A26365" w:rsidP="00A26365">
      <w:pPr>
        <w:keepNext/>
        <w:numPr>
          <w:ilvl w:val="0"/>
          <w:numId w:val="3"/>
        </w:numPr>
        <w:spacing w:after="60"/>
        <w:outlineLvl w:val="1"/>
        <w:rPr>
          <w:rFonts w:ascii="Arial Narrow" w:hAnsi="Arial Narrow" w:cs="Arial Narrow"/>
          <w:sz w:val="20"/>
          <w:szCs w:val="20"/>
        </w:rPr>
      </w:pPr>
      <w:r>
        <w:rPr>
          <w:rFonts w:ascii="Arial Narrow" w:hAnsi="Arial Narrow" w:cs="Arial Narrow"/>
          <w:sz w:val="20"/>
          <w:szCs w:val="20"/>
        </w:rPr>
        <w:t xml:space="preserve">Pojištění odpovědnosti se </w:t>
      </w:r>
      <w:r w:rsidRPr="00A26365">
        <w:rPr>
          <w:rFonts w:ascii="Arial Narrow" w:hAnsi="Arial Narrow" w:cs="Arial Narrow"/>
          <w:sz w:val="20"/>
          <w:szCs w:val="20"/>
        </w:rPr>
        <w:t>vztahuje na škody vzniklé jednáním pojištěného, jehož důsledkem</w:t>
      </w:r>
      <w:r>
        <w:rPr>
          <w:rFonts w:ascii="Arial Narrow" w:hAnsi="Arial Narrow" w:cs="Arial Narrow"/>
          <w:sz w:val="20"/>
          <w:szCs w:val="20"/>
        </w:rPr>
        <w:t xml:space="preserve"> </w:t>
      </w:r>
      <w:r w:rsidRPr="00A26365">
        <w:rPr>
          <w:rFonts w:ascii="Arial Narrow" w:hAnsi="Arial Narrow" w:cs="Arial Narrow"/>
          <w:sz w:val="20"/>
          <w:szCs w:val="20"/>
        </w:rPr>
        <w:t>je uložení majetkových sankcí poškozenému</w:t>
      </w:r>
    </w:p>
    <w:p w14:paraId="630AA28C" w14:textId="2544DC0F" w:rsidR="00A455B9" w:rsidRPr="00A26365" w:rsidRDefault="00A455B9" w:rsidP="00A26365">
      <w:pPr>
        <w:keepNext/>
        <w:numPr>
          <w:ilvl w:val="0"/>
          <w:numId w:val="3"/>
        </w:numPr>
        <w:spacing w:after="60"/>
        <w:outlineLvl w:val="1"/>
        <w:rPr>
          <w:rFonts w:ascii="Arial Narrow" w:hAnsi="Arial Narrow" w:cs="Arial Narrow"/>
          <w:sz w:val="20"/>
          <w:szCs w:val="20"/>
        </w:rPr>
      </w:pPr>
      <w:r>
        <w:rPr>
          <w:rFonts w:ascii="Arial Narrow" w:hAnsi="Arial Narrow" w:cs="Arial Narrow"/>
          <w:sz w:val="20"/>
          <w:szCs w:val="20"/>
        </w:rPr>
        <w:t>Odpovědnost za škodu / újmu v souvislosti s výkonem činnosti poskytovatele služby péče o dítě v dětské skupině</w:t>
      </w:r>
    </w:p>
    <w:p w14:paraId="1D2746C6" w14:textId="77777777" w:rsidR="00CB7736" w:rsidRPr="00D56E89" w:rsidRDefault="00CB7736" w:rsidP="00CB7736">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křížová odpovědnost</w:t>
      </w:r>
      <w:r w:rsidR="00125D07">
        <w:rPr>
          <w:rFonts w:ascii="Arial Narrow" w:hAnsi="Arial Narrow" w:cs="Arial Narrow"/>
          <w:sz w:val="20"/>
          <w:szCs w:val="20"/>
        </w:rPr>
        <w:t>,</w:t>
      </w:r>
    </w:p>
    <w:p w14:paraId="06D2DB7F" w14:textId="658BB860" w:rsidR="00DD75A3" w:rsidRDefault="00DD75A3" w:rsidP="00CB7736">
      <w:pPr>
        <w:keepNext/>
        <w:spacing w:before="240" w:after="60"/>
        <w:ind w:left="360"/>
        <w:outlineLvl w:val="1"/>
        <w:rPr>
          <w:rFonts w:ascii="Arial Narrow" w:hAnsi="Arial Narrow" w:cs="Arial Narrow"/>
          <w:sz w:val="20"/>
          <w:szCs w:val="20"/>
        </w:rPr>
      </w:pPr>
      <w:r>
        <w:rPr>
          <w:rFonts w:ascii="Arial Narrow" w:hAnsi="Arial Narrow" w:cs="Arial Narrow"/>
          <w:sz w:val="20"/>
          <w:szCs w:val="20"/>
        </w:rPr>
        <w:t xml:space="preserve">Pojištění </w:t>
      </w:r>
      <w:r w:rsidR="00CB7736" w:rsidRPr="00D56E89">
        <w:rPr>
          <w:rFonts w:ascii="Arial Narrow" w:hAnsi="Arial Narrow" w:cs="Arial Narrow"/>
          <w:sz w:val="20"/>
          <w:szCs w:val="20"/>
        </w:rPr>
        <w:t>na principu „loss occurence“, tzn. rozhodný je vznik škody, nikoli vznesení nároku na náhradu škody</w:t>
      </w:r>
      <w:r>
        <w:rPr>
          <w:rFonts w:ascii="Arial Narrow" w:hAnsi="Arial Narrow" w:cs="Arial Narrow"/>
          <w:sz w:val="20"/>
          <w:szCs w:val="20"/>
        </w:rPr>
        <w:t>.</w:t>
      </w:r>
    </w:p>
    <w:p w14:paraId="3CB052C9" w14:textId="1A11CCE2" w:rsidR="00E865A5" w:rsidRPr="0072288B" w:rsidRDefault="00BA0B12" w:rsidP="00CE7CE9">
      <w:pPr>
        <w:keepNext/>
        <w:spacing w:before="240" w:after="60"/>
        <w:ind w:left="360"/>
        <w:outlineLvl w:val="1"/>
        <w:rPr>
          <w:rFonts w:ascii="Arial" w:hAnsi="Arial" w:cs="Arial"/>
          <w:b/>
          <w:bCs/>
          <w:i/>
          <w:iCs/>
          <w:sz w:val="20"/>
          <w:szCs w:val="20"/>
        </w:rPr>
      </w:pPr>
      <w:r>
        <w:rPr>
          <w:rFonts w:ascii="Arial Narrow" w:hAnsi="Arial Narrow" w:cs="Arial Narrow"/>
          <w:sz w:val="20"/>
          <w:szCs w:val="20"/>
        </w:rPr>
        <w:t>Územní rozsah Česká republika</w:t>
      </w:r>
      <w:r w:rsidR="00C277EC">
        <w:rPr>
          <w:rFonts w:ascii="Arial Narrow" w:hAnsi="Arial Narrow" w:cs="Arial Narrow"/>
          <w:sz w:val="20"/>
          <w:szCs w:val="20"/>
        </w:rPr>
        <w:br/>
      </w:r>
      <w:r w:rsidR="00C277EC">
        <w:rPr>
          <w:rFonts w:ascii="Arial Narrow" w:hAnsi="Arial Narrow" w:cs="Arial Narrow"/>
          <w:sz w:val="20"/>
          <w:szCs w:val="20"/>
        </w:rPr>
        <w:br/>
      </w:r>
      <w:r w:rsidR="00C277EC">
        <w:rPr>
          <w:rFonts w:ascii="Arial Narrow" w:hAnsi="Arial Narrow" w:cs="Arial Narrow"/>
          <w:sz w:val="20"/>
          <w:szCs w:val="20"/>
        </w:rPr>
        <w:br/>
      </w:r>
      <w:r w:rsidR="0072288B">
        <w:rPr>
          <w:rFonts w:ascii="Arial" w:hAnsi="Arial" w:cs="Arial"/>
          <w:b/>
          <w:bCs/>
          <w:i/>
          <w:iCs/>
          <w:sz w:val="20"/>
          <w:szCs w:val="20"/>
        </w:rPr>
        <w:lastRenderedPageBreak/>
        <w:t xml:space="preserve">3.1.1.  </w:t>
      </w:r>
      <w:r w:rsidR="00E865A5" w:rsidRPr="00D56E89">
        <w:rPr>
          <w:rFonts w:ascii="Arial" w:hAnsi="Arial" w:cs="Arial"/>
          <w:b/>
          <w:bCs/>
          <w:i/>
          <w:iCs/>
          <w:sz w:val="20"/>
          <w:szCs w:val="20"/>
        </w:rPr>
        <w:t>Roční limit plnění</w:t>
      </w:r>
      <w:r w:rsidR="00CE7CE9">
        <w:rPr>
          <w:rFonts w:ascii="Arial" w:hAnsi="Arial" w:cs="Arial"/>
          <w:b/>
          <w:bCs/>
          <w:i/>
          <w:iCs/>
          <w:sz w:val="20"/>
          <w:szCs w:val="20"/>
        </w:rPr>
        <w:t xml:space="preserve"> 40 </w:t>
      </w:r>
      <w:r w:rsidR="00E865A5" w:rsidRPr="0072288B">
        <w:rPr>
          <w:rFonts w:ascii="Arial" w:hAnsi="Arial" w:cs="Arial"/>
          <w:b/>
          <w:bCs/>
          <w:i/>
          <w:iCs/>
          <w:sz w:val="20"/>
          <w:szCs w:val="20"/>
        </w:rPr>
        <w:t>000 000 Kč</w:t>
      </w:r>
      <w:r w:rsidR="00CE7CE9">
        <w:rPr>
          <w:rFonts w:ascii="Arial" w:hAnsi="Arial" w:cs="Arial"/>
          <w:b/>
          <w:bCs/>
          <w:i/>
          <w:iCs/>
          <w:sz w:val="20"/>
          <w:szCs w:val="20"/>
        </w:rPr>
        <w:br/>
      </w:r>
    </w:p>
    <w:tbl>
      <w:tblPr>
        <w:tblW w:w="9826" w:type="dxa"/>
        <w:tblInd w:w="70" w:type="dxa"/>
        <w:tblCellMar>
          <w:left w:w="70" w:type="dxa"/>
          <w:right w:w="70" w:type="dxa"/>
        </w:tblCellMar>
        <w:tblLook w:val="0000" w:firstRow="0" w:lastRow="0" w:firstColumn="0" w:lastColumn="0" w:noHBand="0" w:noVBand="0"/>
      </w:tblPr>
      <w:tblGrid>
        <w:gridCol w:w="9826"/>
      </w:tblGrid>
      <w:tr w:rsidR="00C277EC" w:rsidRPr="00D56E89" w14:paraId="606C0665" w14:textId="77777777" w:rsidTr="00CB0B6B">
        <w:trPr>
          <w:trHeight w:val="255"/>
        </w:trPr>
        <w:tc>
          <w:tcPr>
            <w:tcW w:w="9826" w:type="dxa"/>
            <w:tcBorders>
              <w:top w:val="nil"/>
              <w:left w:val="nil"/>
              <w:bottom w:val="nil"/>
              <w:right w:val="nil"/>
            </w:tcBorders>
            <w:shd w:val="clear" w:color="auto" w:fill="FFFFFF"/>
            <w:noWrap/>
          </w:tcPr>
          <w:p w14:paraId="297ACFA1" w14:textId="77777777" w:rsidR="00CE7CE9" w:rsidRDefault="0072288B" w:rsidP="0072288B">
            <w:pPr>
              <w:keepNext/>
              <w:spacing w:after="60"/>
              <w:outlineLvl w:val="1"/>
              <w:rPr>
                <w:rFonts w:ascii="Arial" w:hAnsi="Arial" w:cs="Arial"/>
                <w:b/>
                <w:bCs/>
                <w:i/>
                <w:iCs/>
                <w:sz w:val="20"/>
                <w:szCs w:val="20"/>
              </w:rPr>
            </w:pPr>
            <w:r>
              <w:rPr>
                <w:rFonts w:ascii="Arial" w:hAnsi="Arial" w:cs="Arial"/>
                <w:b/>
                <w:bCs/>
                <w:i/>
                <w:iCs/>
                <w:sz w:val="20"/>
                <w:szCs w:val="20"/>
              </w:rPr>
              <w:t xml:space="preserve">   3.1.2. </w:t>
            </w:r>
            <w:r w:rsidR="00C277EC" w:rsidRPr="00D56E89">
              <w:rPr>
                <w:rFonts w:ascii="Arial" w:hAnsi="Arial" w:cs="Arial"/>
                <w:b/>
                <w:bCs/>
                <w:i/>
                <w:iCs/>
                <w:sz w:val="20"/>
                <w:szCs w:val="20"/>
              </w:rPr>
              <w:t>Roční sublimity plnění</w:t>
            </w:r>
          </w:p>
          <w:p w14:paraId="59C536EE" w14:textId="2AD0DB53" w:rsidR="00C277EC" w:rsidRDefault="00CE7CE9" w:rsidP="0072288B">
            <w:pPr>
              <w:keepNext/>
              <w:spacing w:after="60"/>
              <w:outlineLvl w:val="1"/>
              <w:rPr>
                <w:rFonts w:ascii="Arial Narrow" w:hAnsi="Arial Narrow" w:cs="Arial Narrow"/>
                <w:sz w:val="20"/>
                <w:szCs w:val="20"/>
              </w:rPr>
            </w:pPr>
            <w:r>
              <w:rPr>
                <w:rFonts w:ascii="Arial" w:hAnsi="Arial" w:cs="Arial"/>
                <w:b/>
                <w:bCs/>
                <w:i/>
                <w:iCs/>
                <w:sz w:val="20"/>
                <w:szCs w:val="20"/>
              </w:rPr>
              <w:br/>
            </w:r>
            <w:r w:rsidR="00C277EC" w:rsidRPr="00D56E89">
              <w:rPr>
                <w:rFonts w:ascii="Arial" w:hAnsi="Arial" w:cs="Arial"/>
                <w:b/>
                <w:bCs/>
                <w:i/>
                <w:iCs/>
                <w:sz w:val="20"/>
                <w:szCs w:val="20"/>
              </w:rPr>
              <w:t xml:space="preserve"> </w:t>
            </w:r>
            <w:r w:rsidR="00C277EC">
              <w:rPr>
                <w:rFonts w:ascii="Arial" w:hAnsi="Arial" w:cs="Arial"/>
                <w:b/>
                <w:bCs/>
                <w:i/>
                <w:iCs/>
                <w:sz w:val="20"/>
                <w:szCs w:val="20"/>
              </w:rPr>
              <w:t>4</w:t>
            </w:r>
            <w:r w:rsidR="00C277EC" w:rsidRPr="00D56E89">
              <w:rPr>
                <w:rFonts w:ascii="Arial" w:hAnsi="Arial" w:cs="Arial"/>
                <w:b/>
                <w:bCs/>
                <w:i/>
                <w:iCs/>
                <w:sz w:val="20"/>
                <w:szCs w:val="20"/>
              </w:rPr>
              <w:t>0 000 000 Kč pro pojištění odpovědnosti za škodu/újmu:</w:t>
            </w:r>
          </w:p>
          <w:p w14:paraId="7DD93002" w14:textId="360BC2B6" w:rsidR="00C277EC" w:rsidRDefault="00C277EC" w:rsidP="00CB0B6B">
            <w:pPr>
              <w:keepNext/>
              <w:numPr>
                <w:ilvl w:val="0"/>
                <w:numId w:val="3"/>
              </w:numPr>
              <w:spacing w:after="60"/>
              <w:outlineLvl w:val="1"/>
              <w:rPr>
                <w:rFonts w:ascii="Arial Narrow" w:hAnsi="Arial Narrow" w:cs="Arial Narrow"/>
                <w:sz w:val="20"/>
                <w:szCs w:val="20"/>
              </w:rPr>
            </w:pPr>
            <w:r>
              <w:rPr>
                <w:rFonts w:ascii="Arial Narrow" w:hAnsi="Arial Narrow" w:cs="Arial Narrow"/>
                <w:sz w:val="20"/>
                <w:szCs w:val="20"/>
              </w:rPr>
              <w:t>Základní rozsah včetně:</w:t>
            </w:r>
          </w:p>
          <w:p w14:paraId="1013BDFB" w14:textId="77777777" w:rsidR="00C277EC" w:rsidRPr="00D56E89" w:rsidRDefault="00C277EC" w:rsidP="00CB0B6B">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 xml:space="preserve">způsobenou zaměstnanci na movité věci při plnění pracovních úkolů v pracovněprávním vztahu nebo v přímé souvislosti s ním </w:t>
            </w:r>
          </w:p>
        </w:tc>
      </w:tr>
      <w:tr w:rsidR="00C277EC" w:rsidRPr="00934546" w14:paraId="0EC6A8FB" w14:textId="77777777" w:rsidTr="00CB0B6B">
        <w:trPr>
          <w:trHeight w:val="255"/>
        </w:trPr>
        <w:tc>
          <w:tcPr>
            <w:tcW w:w="9826" w:type="dxa"/>
            <w:tcBorders>
              <w:top w:val="nil"/>
              <w:left w:val="nil"/>
              <w:bottom w:val="nil"/>
              <w:right w:val="nil"/>
            </w:tcBorders>
            <w:shd w:val="clear" w:color="auto" w:fill="FFFFFF"/>
            <w:noWrap/>
          </w:tcPr>
          <w:p w14:paraId="2B3E4415" w14:textId="77777777" w:rsidR="00C277EC" w:rsidRPr="00934546"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Narrow"/>
                <w:sz w:val="20"/>
                <w:szCs w:val="20"/>
              </w:rPr>
              <w:t>na zdraví způsobenou uchazečem o zaměstnání nebo zájemcem o zaměstnání při rekvalifikaci</w:t>
            </w:r>
          </w:p>
        </w:tc>
      </w:tr>
      <w:tr w:rsidR="00C277EC" w:rsidRPr="00934546" w14:paraId="125D2567" w14:textId="77777777" w:rsidTr="00CB0B6B">
        <w:trPr>
          <w:trHeight w:val="255"/>
        </w:trPr>
        <w:tc>
          <w:tcPr>
            <w:tcW w:w="9826" w:type="dxa"/>
            <w:tcBorders>
              <w:top w:val="nil"/>
              <w:left w:val="nil"/>
              <w:bottom w:val="nil"/>
              <w:right w:val="nil"/>
            </w:tcBorders>
            <w:shd w:val="clear" w:color="auto" w:fill="FFFFFF"/>
            <w:noWrap/>
          </w:tcPr>
          <w:p w14:paraId="764D665E" w14:textId="77777777" w:rsidR="00C277EC" w:rsidRPr="00934546"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Narrow"/>
                <w:sz w:val="20"/>
                <w:szCs w:val="20"/>
              </w:rPr>
              <w:t>na zdraví způsobenou uchazeči o zaměstnání nebo zájemcem o zaměstnání při rekvalifikaci na základě dohody mezi úřadem práce a rekvalifikačním zařízením</w:t>
            </w:r>
          </w:p>
        </w:tc>
      </w:tr>
      <w:tr w:rsidR="00C277EC" w:rsidRPr="00934546" w14:paraId="6DCF33E0" w14:textId="77777777" w:rsidTr="00CB0B6B">
        <w:trPr>
          <w:trHeight w:val="255"/>
        </w:trPr>
        <w:tc>
          <w:tcPr>
            <w:tcW w:w="9826" w:type="dxa"/>
            <w:tcBorders>
              <w:top w:val="nil"/>
              <w:left w:val="nil"/>
              <w:bottom w:val="nil"/>
              <w:right w:val="nil"/>
            </w:tcBorders>
            <w:shd w:val="clear" w:color="auto" w:fill="FFFFFF"/>
            <w:noWrap/>
          </w:tcPr>
          <w:p w14:paraId="1A70A0A2" w14:textId="77777777" w:rsidR="00C277EC" w:rsidRPr="00934546"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Narrow"/>
                <w:sz w:val="20"/>
                <w:szCs w:val="20"/>
              </w:rPr>
              <w:t>způsobenou dítěti při vykonávání zákonem dovolené činnosti na základě povolení vydaného tomuto dítěti úřadem práce</w:t>
            </w:r>
          </w:p>
        </w:tc>
      </w:tr>
      <w:tr w:rsidR="00C277EC" w:rsidRPr="002814A5" w14:paraId="4FB01441" w14:textId="77777777" w:rsidTr="00CB0B6B">
        <w:trPr>
          <w:trHeight w:val="255"/>
        </w:trPr>
        <w:tc>
          <w:tcPr>
            <w:tcW w:w="9826" w:type="dxa"/>
            <w:tcBorders>
              <w:top w:val="nil"/>
              <w:left w:val="nil"/>
              <w:bottom w:val="nil"/>
              <w:right w:val="nil"/>
            </w:tcBorders>
            <w:shd w:val="clear" w:color="auto" w:fill="FFFFFF"/>
            <w:noWrap/>
          </w:tcPr>
          <w:p w14:paraId="41060E16" w14:textId="77777777" w:rsidR="00C277EC" w:rsidRPr="00934546"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Narrow"/>
                <w:sz w:val="20"/>
                <w:szCs w:val="20"/>
              </w:rPr>
              <w:t>způsobenou dítětem při vykonávání zákonem dovolené činnosti na základě povolení vydaného tomuto dítěti úřadem práce</w:t>
            </w:r>
          </w:p>
          <w:p w14:paraId="2057499F" w14:textId="77777777" w:rsidR="00C277EC" w:rsidRPr="002814A5"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Narrow"/>
                <w:sz w:val="20"/>
                <w:szCs w:val="20"/>
              </w:rPr>
              <w:t xml:space="preserve">náhrada nákladů vynaložených zdravotní pojišťovnou na zdravotní péči a pojištění se vztahuje též na případy nároku orgánu sociálního zabezpečení vůči pojištěnému na regresní náhradu dle §126 zákona č. 187/2006 Sb., o nemocenském pojištění třetí osoby </w:t>
            </w:r>
          </w:p>
        </w:tc>
      </w:tr>
      <w:tr w:rsidR="00C277EC" w:rsidRPr="00D56E89" w14:paraId="4159A67D" w14:textId="77777777" w:rsidTr="00CB0B6B">
        <w:trPr>
          <w:trHeight w:val="576"/>
        </w:trPr>
        <w:tc>
          <w:tcPr>
            <w:tcW w:w="9826" w:type="dxa"/>
            <w:tcBorders>
              <w:top w:val="nil"/>
              <w:left w:val="nil"/>
              <w:bottom w:val="nil"/>
              <w:right w:val="nil"/>
            </w:tcBorders>
            <w:shd w:val="clear" w:color="auto" w:fill="FFFFFF"/>
            <w:noWrap/>
          </w:tcPr>
          <w:p w14:paraId="3105E3FF" w14:textId="77777777" w:rsidR="00C277EC" w:rsidRPr="00D56E89" w:rsidRDefault="00C277EC" w:rsidP="00CB0B6B">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způsobenou v souvislosti s poskytováním sociálních služeb na základě zákona 108/2006 Sb</w:t>
            </w:r>
          </w:p>
          <w:p w14:paraId="4A087412" w14:textId="77777777" w:rsidR="00C277EC" w:rsidRPr="00D56E89" w:rsidRDefault="00C277EC" w:rsidP="00CB0B6B">
            <w:pPr>
              <w:keepNext/>
              <w:numPr>
                <w:ilvl w:val="0"/>
                <w:numId w:val="3"/>
              </w:numPr>
              <w:spacing w:after="60"/>
              <w:outlineLvl w:val="1"/>
              <w:rPr>
                <w:rFonts w:ascii="Arial Narrow" w:hAnsi="Arial Narrow" w:cs="Arial Narrow"/>
                <w:sz w:val="20"/>
                <w:szCs w:val="20"/>
              </w:rPr>
            </w:pPr>
            <w:r w:rsidRPr="00D56E89">
              <w:rPr>
                <w:rFonts w:ascii="Arial Narrow" w:hAnsi="Arial Narrow" w:cs="Arial Narrow"/>
                <w:sz w:val="20"/>
                <w:szCs w:val="20"/>
              </w:rPr>
              <w:t>způsobenou při činnosti, k jejímuž výkonu je pojištěný oprávněn</w:t>
            </w:r>
          </w:p>
        </w:tc>
      </w:tr>
      <w:tr w:rsidR="00C277EC" w:rsidRPr="00D56E89" w14:paraId="3428D5F3" w14:textId="77777777" w:rsidTr="00CB0B6B">
        <w:trPr>
          <w:trHeight w:val="255"/>
        </w:trPr>
        <w:tc>
          <w:tcPr>
            <w:tcW w:w="9826" w:type="dxa"/>
            <w:tcBorders>
              <w:top w:val="nil"/>
              <w:left w:val="nil"/>
              <w:bottom w:val="nil"/>
              <w:right w:val="nil"/>
            </w:tcBorders>
            <w:shd w:val="clear" w:color="auto" w:fill="FFFFFF"/>
            <w:noWrap/>
          </w:tcPr>
          <w:p w14:paraId="2754DBFC" w14:textId="77777777" w:rsidR="00C277EC" w:rsidRPr="00D56E89" w:rsidRDefault="00C277EC" w:rsidP="00CB0B6B">
            <w:pPr>
              <w:keepNext/>
              <w:spacing w:after="60"/>
              <w:ind w:left="720"/>
              <w:outlineLvl w:val="1"/>
              <w:rPr>
                <w:rFonts w:ascii="Arial" w:hAnsi="Arial" w:cs="Arial"/>
                <w:b/>
                <w:bCs/>
                <w:i/>
                <w:iCs/>
                <w:sz w:val="20"/>
                <w:szCs w:val="20"/>
              </w:rPr>
            </w:pPr>
          </w:p>
          <w:p w14:paraId="7D880C77" w14:textId="77777777" w:rsidR="00C277EC" w:rsidRPr="00D56E89" w:rsidRDefault="00C277EC" w:rsidP="00CE7CE9">
            <w:pPr>
              <w:keepNext/>
              <w:spacing w:after="60"/>
              <w:outlineLvl w:val="1"/>
              <w:rPr>
                <w:rFonts w:ascii="Arial" w:hAnsi="Arial" w:cs="Arial"/>
                <w:b/>
                <w:bCs/>
                <w:i/>
                <w:iCs/>
                <w:sz w:val="20"/>
                <w:szCs w:val="20"/>
              </w:rPr>
            </w:pPr>
            <w:r>
              <w:rPr>
                <w:rFonts w:ascii="Arial" w:hAnsi="Arial" w:cs="Arial"/>
                <w:b/>
                <w:bCs/>
                <w:i/>
                <w:iCs/>
                <w:sz w:val="20"/>
                <w:szCs w:val="20"/>
              </w:rPr>
              <w:t>10</w:t>
            </w:r>
            <w:r w:rsidRPr="00D56E89">
              <w:rPr>
                <w:rFonts w:ascii="Arial" w:hAnsi="Arial" w:cs="Arial"/>
                <w:b/>
                <w:bCs/>
                <w:i/>
                <w:iCs/>
                <w:sz w:val="20"/>
                <w:szCs w:val="20"/>
              </w:rPr>
              <w:t> 000 000 Kč pro pojištění odpovědnosti za škodu / újmu:</w:t>
            </w:r>
          </w:p>
          <w:tbl>
            <w:tblPr>
              <w:tblW w:w="9406" w:type="dxa"/>
              <w:tblInd w:w="70" w:type="dxa"/>
              <w:tblCellMar>
                <w:left w:w="70" w:type="dxa"/>
                <w:right w:w="70" w:type="dxa"/>
              </w:tblCellMar>
              <w:tblLook w:val="0000" w:firstRow="0" w:lastRow="0" w:firstColumn="0" w:lastColumn="0" w:noHBand="0" w:noVBand="0"/>
            </w:tblPr>
            <w:tblGrid>
              <w:gridCol w:w="9616"/>
            </w:tblGrid>
            <w:tr w:rsidR="00C277EC" w:rsidRPr="00D56E89" w14:paraId="34387F8D" w14:textId="77777777" w:rsidTr="00CB0B6B">
              <w:trPr>
                <w:trHeight w:val="255"/>
              </w:trPr>
              <w:tc>
                <w:tcPr>
                  <w:tcW w:w="9406" w:type="dxa"/>
                  <w:tcBorders>
                    <w:top w:val="nil"/>
                    <w:left w:val="nil"/>
                    <w:bottom w:val="nil"/>
                    <w:right w:val="nil"/>
                  </w:tcBorders>
                  <w:shd w:val="clear" w:color="auto" w:fill="FFFFFF"/>
                  <w:noWrap/>
                </w:tcPr>
                <w:p w14:paraId="67531ABA" w14:textId="77777777" w:rsidR="00C277EC" w:rsidRPr="00934546" w:rsidRDefault="00C277EC" w:rsidP="00CB0B6B">
                  <w:pPr>
                    <w:keepNext/>
                    <w:numPr>
                      <w:ilvl w:val="0"/>
                      <w:numId w:val="3"/>
                    </w:numPr>
                    <w:spacing w:after="60"/>
                    <w:outlineLvl w:val="1"/>
                    <w:rPr>
                      <w:rFonts w:ascii="Arial Narrow" w:hAnsi="Arial Narrow" w:cs="Arial Narrow"/>
                      <w:sz w:val="20"/>
                      <w:szCs w:val="20"/>
                    </w:rPr>
                  </w:pPr>
                  <w:r w:rsidRPr="00F71154">
                    <w:rPr>
                      <w:rFonts w:ascii="Arial Narrow" w:hAnsi="Arial Narrow" w:cs="Arial Narrow"/>
                      <w:sz w:val="20"/>
                      <w:szCs w:val="20"/>
                    </w:rPr>
                    <w:t xml:space="preserve">čistá finanční škoda – odpovědnost za škodu/újmu způsobenou nezákonným rozhodnutím, nesprávným úředním postupem obce při výkonu veřejné správy v přenesené a </w:t>
                  </w:r>
                  <w:r w:rsidRPr="00934546">
                    <w:rPr>
                      <w:rFonts w:ascii="Arial Narrow" w:hAnsi="Arial Narrow" w:cs="Arial Narrow"/>
                      <w:sz w:val="20"/>
                      <w:szCs w:val="20"/>
                    </w:rPr>
                    <w:t>samostatné působnosti</w:t>
                  </w:r>
                  <w:r w:rsidRPr="00934546">
                    <w:rPr>
                      <w:rFonts w:ascii="Arial Narrow" w:hAnsi="Arial Narrow" w:cs="Arial"/>
                      <w:bCs/>
                      <w:sz w:val="20"/>
                      <w:szCs w:val="20"/>
                    </w:rPr>
                    <w:t xml:space="preserve"> postupem (dle zákona č. 82/1998 Sb. v platném znění a zákona České národní rady č. 358/1992 Sb)</w:t>
                  </w:r>
                </w:p>
                <w:p w14:paraId="7A35482E" w14:textId="77777777" w:rsidR="00C277EC" w:rsidRPr="00BE681E" w:rsidRDefault="00C277EC" w:rsidP="00CB0B6B">
                  <w:pPr>
                    <w:keepNext/>
                    <w:numPr>
                      <w:ilvl w:val="0"/>
                      <w:numId w:val="3"/>
                    </w:numPr>
                    <w:spacing w:after="60"/>
                    <w:outlineLvl w:val="1"/>
                    <w:rPr>
                      <w:rFonts w:ascii="Arial Narrow" w:hAnsi="Arial Narrow" w:cs="Arial Narrow"/>
                      <w:sz w:val="20"/>
                      <w:szCs w:val="20"/>
                    </w:rPr>
                  </w:pPr>
                  <w:r w:rsidRPr="00934546">
                    <w:rPr>
                      <w:rFonts w:ascii="Arial Narrow" w:hAnsi="Arial Narrow" w:cs="Arial"/>
                      <w:bCs/>
                      <w:sz w:val="20"/>
                      <w:szCs w:val="20"/>
                    </w:rPr>
                    <w:t xml:space="preserve">odpovědnost za škodu ve smyslu zákona č. 111/2006 Sb, o pomoci v hmotné nouzi a ve znění pozdějších předpisů – škoda/újma na majetku, životě či zdraví osobě (či osobou) vykonávající </w:t>
                  </w:r>
                  <w:r>
                    <w:rPr>
                      <w:rFonts w:ascii="Arial Narrow" w:hAnsi="Arial Narrow" w:cs="Arial"/>
                      <w:bCs/>
                      <w:sz w:val="20"/>
                      <w:szCs w:val="20"/>
                    </w:rPr>
                    <w:t>veřejnou službu.</w:t>
                  </w:r>
                  <w:r>
                    <w:t xml:space="preserve"> P</w:t>
                  </w:r>
                  <w:r w:rsidRPr="00452A07">
                    <w:rPr>
                      <w:rFonts w:ascii="Arial Narrow" w:hAnsi="Arial Narrow" w:cs="Arial"/>
                      <w:bCs/>
                      <w:sz w:val="20"/>
                      <w:szCs w:val="20"/>
                    </w:rPr>
                    <w:t>ojištěným je i Česká republika – Úřad práce České republiky se sídlem Karlovo náměstí 1359/1, Nové Město, 128 00 Praha 28, IČ: 72496991</w:t>
                  </w:r>
                </w:p>
                <w:p w14:paraId="691EFB27" w14:textId="77777777" w:rsidR="00C277EC" w:rsidRPr="009714E8" w:rsidRDefault="00C277EC" w:rsidP="00CB0B6B">
                  <w:pPr>
                    <w:keepNext/>
                    <w:numPr>
                      <w:ilvl w:val="0"/>
                      <w:numId w:val="3"/>
                    </w:numPr>
                    <w:spacing w:after="60"/>
                    <w:outlineLvl w:val="1"/>
                    <w:rPr>
                      <w:rFonts w:ascii="Arial Narrow" w:hAnsi="Arial Narrow" w:cs="Arial Narrow"/>
                      <w:sz w:val="20"/>
                      <w:szCs w:val="20"/>
                    </w:rPr>
                  </w:pPr>
                  <w:r w:rsidRPr="009714E8">
                    <w:rPr>
                      <w:rFonts w:ascii="Arial Narrow" w:hAnsi="Arial Narrow" w:cs="Arial Narrow"/>
                      <w:sz w:val="20"/>
                      <w:szCs w:val="20"/>
                    </w:rPr>
                    <w:t>Ochrana osobnosti – náhrady újmy způsobené neoprávněným zásahem pojištěného do práva na ochranu osobnosti člověka nebo právní osobnosti právnické osoby, je-li povinnost pojištěného k její náhradě dána pravomocným soudním rozhodnutím</w:t>
                  </w:r>
                </w:p>
                <w:p w14:paraId="6495FD7A" w14:textId="77777777" w:rsidR="00C277EC" w:rsidRPr="00C419E2" w:rsidRDefault="00C277EC" w:rsidP="00CB0B6B">
                  <w:pPr>
                    <w:keepNext/>
                    <w:numPr>
                      <w:ilvl w:val="0"/>
                      <w:numId w:val="3"/>
                    </w:numPr>
                    <w:spacing w:after="60"/>
                    <w:outlineLvl w:val="1"/>
                    <w:rPr>
                      <w:rFonts w:ascii="Arial Narrow" w:hAnsi="Arial Narrow" w:cs="Arial Narrow"/>
                      <w:sz w:val="20"/>
                      <w:szCs w:val="20"/>
                    </w:rPr>
                  </w:pPr>
                  <w:r w:rsidRPr="00C419E2">
                    <w:rPr>
                      <w:rFonts w:ascii="Arial Narrow" w:hAnsi="Arial Narrow" w:cs="Arial Narrow"/>
                      <w:sz w:val="20"/>
                      <w:szCs w:val="20"/>
                    </w:rPr>
                    <w:t>Náhrada nákladů vynaložených zdravotní pojišťovnou na zdravotní péči ve prospěch zaměstnance.</w:t>
                  </w:r>
                </w:p>
                <w:p w14:paraId="692A2A41" w14:textId="77777777" w:rsidR="00C277EC" w:rsidRDefault="00C277EC" w:rsidP="00CB0B6B">
                  <w:pPr>
                    <w:keepNext/>
                    <w:numPr>
                      <w:ilvl w:val="0"/>
                      <w:numId w:val="3"/>
                    </w:numPr>
                    <w:spacing w:after="60"/>
                    <w:outlineLvl w:val="1"/>
                    <w:rPr>
                      <w:rFonts w:ascii="Arial Narrow" w:hAnsi="Arial Narrow" w:cs="Arial Narrow"/>
                      <w:sz w:val="20"/>
                      <w:szCs w:val="20"/>
                    </w:rPr>
                  </w:pPr>
                  <w:r w:rsidRPr="00C419E2">
                    <w:rPr>
                      <w:rFonts w:ascii="Arial Narrow" w:hAnsi="Arial Narrow" w:cs="Arial Narrow"/>
                      <w:sz w:val="20"/>
                      <w:szCs w:val="20"/>
                    </w:rPr>
                    <w:t>Pojištění se vztahuje též na případy nároku orgánu sociálního zabezpečení vůči pojištěnému na regresní náhradu dle §126 zákona č. 187/2006 Sb., o nemocenském pojištění.</w:t>
                  </w:r>
                </w:p>
                <w:p w14:paraId="11A3DFE6" w14:textId="77777777" w:rsidR="00C277EC" w:rsidRPr="00A26365" w:rsidRDefault="00C277EC" w:rsidP="00CB0B6B">
                  <w:pPr>
                    <w:keepNext/>
                    <w:numPr>
                      <w:ilvl w:val="0"/>
                      <w:numId w:val="3"/>
                    </w:numPr>
                    <w:spacing w:after="60"/>
                    <w:outlineLvl w:val="1"/>
                    <w:rPr>
                      <w:rFonts w:ascii="Arial Narrow" w:hAnsi="Arial Narrow" w:cs="Arial Narrow"/>
                      <w:sz w:val="20"/>
                      <w:szCs w:val="20"/>
                    </w:rPr>
                  </w:pPr>
                  <w:r>
                    <w:rPr>
                      <w:rFonts w:ascii="Arial Narrow" w:hAnsi="Arial Narrow" w:cs="Arial Narrow"/>
                      <w:sz w:val="20"/>
                      <w:szCs w:val="20"/>
                    </w:rPr>
                    <w:t>Odpovědnost za škodu / újmu v souvislosti s výkonem činnosti poskytovatele služby péče o dítě v dětské skupině</w:t>
                  </w:r>
                </w:p>
                <w:p w14:paraId="56D13DB0" w14:textId="77777777" w:rsidR="00C277EC" w:rsidRPr="00D56E89" w:rsidRDefault="00C277EC" w:rsidP="00CB0B6B">
                  <w:pPr>
                    <w:keepNext/>
                    <w:spacing w:after="60"/>
                    <w:ind w:left="952"/>
                    <w:outlineLvl w:val="1"/>
                    <w:rPr>
                      <w:rFonts w:ascii="Arial Narrow" w:hAnsi="Arial Narrow" w:cs="Arial Narrow"/>
                      <w:sz w:val="20"/>
                      <w:szCs w:val="20"/>
                    </w:rPr>
                  </w:pPr>
                </w:p>
              </w:tc>
            </w:tr>
            <w:tr w:rsidR="00C277EC" w:rsidRPr="00D56E89" w14:paraId="58477189" w14:textId="77777777" w:rsidTr="00CB0B6B">
              <w:trPr>
                <w:trHeight w:val="255"/>
              </w:trPr>
              <w:tc>
                <w:tcPr>
                  <w:tcW w:w="9406" w:type="dxa"/>
                  <w:tcBorders>
                    <w:top w:val="nil"/>
                    <w:left w:val="nil"/>
                    <w:bottom w:val="nil"/>
                    <w:right w:val="nil"/>
                  </w:tcBorders>
                  <w:shd w:val="clear" w:color="auto" w:fill="FFFFFF"/>
                  <w:noWrap/>
                </w:tcPr>
                <w:p w14:paraId="761EDC22" w14:textId="77777777" w:rsidR="00C277EC" w:rsidRPr="00D56E89" w:rsidRDefault="00C277EC" w:rsidP="00CE7CE9">
                  <w:pPr>
                    <w:keepNext/>
                    <w:spacing w:after="60"/>
                    <w:outlineLvl w:val="1"/>
                    <w:rPr>
                      <w:rFonts w:ascii="Arial" w:hAnsi="Arial" w:cs="Arial"/>
                      <w:b/>
                      <w:bCs/>
                      <w:i/>
                      <w:iCs/>
                      <w:sz w:val="20"/>
                      <w:szCs w:val="20"/>
                    </w:rPr>
                  </w:pPr>
                  <w:r w:rsidRPr="00D56E89">
                    <w:rPr>
                      <w:rFonts w:ascii="Arial" w:hAnsi="Arial" w:cs="Arial"/>
                      <w:b/>
                      <w:bCs/>
                      <w:i/>
                      <w:iCs/>
                      <w:sz w:val="20"/>
                      <w:szCs w:val="20"/>
                    </w:rPr>
                    <w:t>5 000 000 Kč pro pojištění odpovědnosti za škodu / újmu:</w:t>
                  </w:r>
                </w:p>
                <w:tbl>
                  <w:tblPr>
                    <w:tblW w:w="9406" w:type="dxa"/>
                    <w:tblInd w:w="70" w:type="dxa"/>
                    <w:tblCellMar>
                      <w:left w:w="70" w:type="dxa"/>
                      <w:right w:w="70" w:type="dxa"/>
                    </w:tblCellMar>
                    <w:tblLook w:val="0000" w:firstRow="0" w:lastRow="0" w:firstColumn="0" w:lastColumn="0" w:noHBand="0" w:noVBand="0"/>
                  </w:tblPr>
                  <w:tblGrid>
                    <w:gridCol w:w="9406"/>
                  </w:tblGrid>
                  <w:tr w:rsidR="00C277EC" w:rsidRPr="00D56E89" w14:paraId="6CFC3AC5" w14:textId="77777777" w:rsidTr="00CB0B6B">
                    <w:trPr>
                      <w:trHeight w:val="255"/>
                    </w:trPr>
                    <w:tc>
                      <w:tcPr>
                        <w:tcW w:w="9406" w:type="dxa"/>
                        <w:tcBorders>
                          <w:top w:val="nil"/>
                          <w:left w:val="nil"/>
                          <w:bottom w:val="nil"/>
                          <w:right w:val="nil"/>
                        </w:tcBorders>
                        <w:shd w:val="clear" w:color="auto" w:fill="FFFFFF"/>
                        <w:noWrap/>
                      </w:tcPr>
                      <w:p w14:paraId="18EFEF6D" w14:textId="567AA32F" w:rsidR="00C277EC" w:rsidRDefault="00C277EC" w:rsidP="00CE7CE9">
                        <w:pPr>
                          <w:keepNext/>
                          <w:numPr>
                            <w:ilvl w:val="0"/>
                            <w:numId w:val="22"/>
                          </w:numPr>
                          <w:spacing w:after="60"/>
                          <w:outlineLvl w:val="1"/>
                          <w:rPr>
                            <w:rFonts w:ascii="Arial Narrow" w:hAnsi="Arial Narrow" w:cs="Arial Narrow"/>
                            <w:sz w:val="20"/>
                            <w:szCs w:val="20"/>
                          </w:rPr>
                        </w:pPr>
                        <w:r w:rsidRPr="00D56E89">
                          <w:rPr>
                            <w:rFonts w:ascii="Arial Narrow" w:hAnsi="Arial Narrow" w:cs="Arial Narrow"/>
                            <w:sz w:val="20"/>
                            <w:szCs w:val="20"/>
                          </w:rPr>
                          <w:t>odpovědnost za škodu způsobenou vadou výrobku</w:t>
                        </w:r>
                        <w:r>
                          <w:rPr>
                            <w:rFonts w:ascii="Arial Narrow" w:hAnsi="Arial Narrow" w:cs="Arial Narrow"/>
                            <w:sz w:val="20"/>
                            <w:szCs w:val="20"/>
                          </w:rPr>
                          <w:t xml:space="preserve"> a vadou práce</w:t>
                        </w:r>
                        <w:r w:rsidRPr="00D56E89">
                          <w:rPr>
                            <w:rFonts w:ascii="Arial Narrow" w:hAnsi="Arial Narrow" w:cs="Arial Narrow"/>
                            <w:sz w:val="20"/>
                            <w:szCs w:val="20"/>
                          </w:rPr>
                          <w:t xml:space="preserve">, </w:t>
                        </w:r>
                        <w:r w:rsidRPr="00046160">
                          <w:rPr>
                            <w:rFonts w:ascii="Arial Narrow" w:hAnsi="Arial Narrow" w:cs="Arial Narrow"/>
                            <w:sz w:val="20"/>
                            <w:szCs w:val="20"/>
                          </w:rPr>
                          <w:t>(zejména stravování), včetně odpovědnosti za následné finanční škody (zejména ušlý zisk)</w:t>
                        </w:r>
                      </w:p>
                      <w:p w14:paraId="47C0F1CD" w14:textId="77777777" w:rsidR="00C277EC" w:rsidRPr="00AD1A90" w:rsidRDefault="00C277EC" w:rsidP="00CE7CE9">
                        <w:pPr>
                          <w:keepNext/>
                          <w:numPr>
                            <w:ilvl w:val="0"/>
                            <w:numId w:val="22"/>
                          </w:numPr>
                          <w:spacing w:after="60"/>
                          <w:outlineLvl w:val="1"/>
                          <w:rPr>
                            <w:rFonts w:ascii="Arial Narrow" w:hAnsi="Arial Narrow" w:cs="Arial Narrow"/>
                            <w:sz w:val="20"/>
                            <w:szCs w:val="20"/>
                          </w:rPr>
                        </w:pPr>
                        <w:r w:rsidRPr="00D56E89">
                          <w:rPr>
                            <w:rFonts w:ascii="Arial Narrow" w:hAnsi="Arial Narrow" w:cs="Arial Narrow"/>
                            <w:sz w:val="20"/>
                            <w:szCs w:val="20"/>
                          </w:rPr>
                          <w:t>odpovědnost za věci převzaté za účelem provedení objednané činnosti</w:t>
                        </w:r>
                        <w:r>
                          <w:rPr>
                            <w:rFonts w:ascii="Arial Narrow" w:hAnsi="Arial Narrow" w:cs="Arial Narrow"/>
                            <w:sz w:val="20"/>
                            <w:szCs w:val="20"/>
                          </w:rPr>
                          <w:t>,</w:t>
                        </w:r>
                        <w:r w:rsidRPr="00C419E2">
                          <w:rPr>
                            <w:rFonts w:ascii="Arial Narrow" w:hAnsi="Arial Narrow" w:cs="Arial Narrow"/>
                            <w:sz w:val="20"/>
                            <w:szCs w:val="20"/>
                          </w:rPr>
                          <w:t xml:space="preserve"> </w:t>
                        </w:r>
                        <w:r w:rsidRPr="00D56E89">
                          <w:rPr>
                            <w:rFonts w:ascii="Arial Narrow" w:hAnsi="Arial Narrow" w:cs="Arial Narrow"/>
                            <w:sz w:val="20"/>
                            <w:szCs w:val="20"/>
                          </w:rPr>
                          <w:t>za věci užívané</w:t>
                        </w:r>
                        <w:r>
                          <w:rPr>
                            <w:rFonts w:ascii="Arial Narrow" w:hAnsi="Arial Narrow" w:cs="Arial Narrow"/>
                            <w:sz w:val="20"/>
                            <w:szCs w:val="20"/>
                          </w:rPr>
                          <w:t xml:space="preserve">, včetně nemovitých objektů, vnesené a odložené </w:t>
                        </w:r>
                        <w:r w:rsidRPr="00D56E89">
                          <w:rPr>
                            <w:rFonts w:ascii="Arial Narrow" w:hAnsi="Arial Narrow" w:cs="Arial Narrow"/>
                            <w:sz w:val="20"/>
                            <w:szCs w:val="20"/>
                          </w:rPr>
                          <w:t>v šatnách a/nebo místech k tomu určených</w:t>
                        </w:r>
                        <w:r>
                          <w:rPr>
                            <w:rFonts w:ascii="Arial Narrow" w:hAnsi="Arial Narrow" w:cs="Arial Narrow"/>
                            <w:sz w:val="20"/>
                            <w:szCs w:val="20"/>
                          </w:rPr>
                          <w:t>, včetně odcizení krádeží/loupeží, v</w:t>
                        </w:r>
                        <w:r w:rsidRPr="00A455B9">
                          <w:rPr>
                            <w:rFonts w:ascii="Arial Narrow" w:hAnsi="Arial Narrow" w:cs="Arial Narrow"/>
                            <w:sz w:val="20"/>
                            <w:szCs w:val="20"/>
                          </w:rPr>
                          <w:t>četně škody na dopravních prostředcích a jejich příslušenství umístěných v garážích či jiných podnicích podobného druhu provozovaných pojištěným</w:t>
                        </w:r>
                        <w:r>
                          <w:rPr>
                            <w:rFonts w:ascii="Arial Narrow" w:hAnsi="Arial Narrow" w:cs="Arial Narrow"/>
                            <w:sz w:val="20"/>
                            <w:szCs w:val="20"/>
                          </w:rPr>
                          <w:t xml:space="preserve">; </w:t>
                        </w:r>
                        <w:r w:rsidRPr="00A455B9">
                          <w:rPr>
                            <w:rFonts w:ascii="Arial Narrow" w:hAnsi="Arial Narrow" w:cs="Arial Narrow"/>
                            <w:sz w:val="20"/>
                            <w:szCs w:val="20"/>
                          </w:rPr>
                          <w:t>odpovědnost pojištěného za škodu/újmu v souvislosti s krádeží vloupáním, loupežným přepadením-o</w:t>
                        </w:r>
                        <w:r>
                          <w:rPr>
                            <w:rFonts w:ascii="Arial Narrow" w:hAnsi="Arial Narrow" w:cs="Arial Narrow"/>
                            <w:sz w:val="20"/>
                            <w:szCs w:val="20"/>
                          </w:rPr>
                          <w:t>d</w:t>
                        </w:r>
                        <w:r w:rsidRPr="00A455B9">
                          <w:rPr>
                            <w:rFonts w:ascii="Arial Narrow" w:hAnsi="Arial Narrow" w:cs="Arial Narrow"/>
                            <w:sz w:val="20"/>
                            <w:szCs w:val="20"/>
                          </w:rPr>
                          <w:t>cizení věcí z uzamčeného místa</w:t>
                        </w:r>
                      </w:p>
                      <w:p w14:paraId="50093112" w14:textId="77777777" w:rsidR="00C277EC" w:rsidRPr="00D56E89" w:rsidRDefault="00C277EC" w:rsidP="00CE7CE9">
                        <w:pPr>
                          <w:keepNext/>
                          <w:numPr>
                            <w:ilvl w:val="0"/>
                            <w:numId w:val="22"/>
                          </w:numPr>
                          <w:spacing w:after="60"/>
                          <w:outlineLvl w:val="1"/>
                          <w:rPr>
                            <w:rFonts w:ascii="Arial Narrow" w:hAnsi="Arial Narrow" w:cs="Arial Narrow"/>
                            <w:sz w:val="20"/>
                            <w:szCs w:val="20"/>
                          </w:rPr>
                        </w:pPr>
                        <w:r>
                          <w:rPr>
                            <w:rFonts w:ascii="Arial Narrow" w:hAnsi="Arial Narrow" w:cs="Arial Narrow"/>
                            <w:sz w:val="20"/>
                            <w:szCs w:val="20"/>
                          </w:rPr>
                          <w:t>jiná nemajetková újma</w:t>
                        </w:r>
                      </w:p>
                      <w:p w14:paraId="0BAC5316" w14:textId="77777777" w:rsidR="00C277EC" w:rsidRPr="00D56E89" w:rsidRDefault="00C277EC" w:rsidP="00CB0B6B">
                        <w:pPr>
                          <w:keepNext/>
                          <w:spacing w:after="60"/>
                          <w:ind w:left="952"/>
                          <w:outlineLvl w:val="1"/>
                          <w:rPr>
                            <w:rFonts w:ascii="Arial Narrow" w:hAnsi="Arial Narrow" w:cs="Arial Narrow"/>
                            <w:sz w:val="20"/>
                            <w:szCs w:val="20"/>
                          </w:rPr>
                        </w:pPr>
                      </w:p>
                    </w:tc>
                  </w:tr>
                </w:tbl>
                <w:p w14:paraId="23679838" w14:textId="77777777" w:rsidR="00C277EC" w:rsidRPr="00D56E89" w:rsidRDefault="00C277EC" w:rsidP="00CB0B6B">
                  <w:pPr>
                    <w:keepNext/>
                    <w:spacing w:after="60"/>
                    <w:ind w:left="952"/>
                    <w:outlineLvl w:val="1"/>
                    <w:rPr>
                      <w:rFonts w:ascii="Arial Narrow" w:hAnsi="Arial Narrow" w:cs="Arial Narrow"/>
                      <w:sz w:val="20"/>
                      <w:szCs w:val="20"/>
                    </w:rPr>
                  </w:pPr>
                </w:p>
              </w:tc>
            </w:tr>
          </w:tbl>
          <w:p w14:paraId="47DB82C4" w14:textId="61365A35" w:rsidR="00C277EC" w:rsidRPr="00CE7CE9" w:rsidRDefault="00C277EC" w:rsidP="00CE7CE9">
            <w:pPr>
              <w:pStyle w:val="Odstavecseseznamem"/>
              <w:keepNext/>
              <w:numPr>
                <w:ilvl w:val="2"/>
                <w:numId w:val="21"/>
              </w:numPr>
              <w:spacing w:before="240" w:after="60"/>
              <w:outlineLvl w:val="1"/>
              <w:rPr>
                <w:rFonts w:ascii="Arial" w:hAnsi="Arial" w:cs="Arial"/>
                <w:b/>
                <w:bCs/>
                <w:i/>
                <w:iCs/>
                <w:sz w:val="20"/>
                <w:szCs w:val="20"/>
              </w:rPr>
            </w:pPr>
            <w:r w:rsidRPr="00CE7CE9">
              <w:rPr>
                <w:rFonts w:ascii="Arial" w:hAnsi="Arial" w:cs="Arial"/>
                <w:b/>
                <w:bCs/>
                <w:i/>
                <w:iCs/>
                <w:sz w:val="20"/>
                <w:szCs w:val="20"/>
              </w:rPr>
              <w:t>Územní rozsah pojištění</w:t>
            </w:r>
          </w:p>
          <w:p w14:paraId="4B34658E" w14:textId="77777777" w:rsidR="00C277EC" w:rsidRPr="00D56E89" w:rsidRDefault="00C277EC" w:rsidP="00CB0B6B">
            <w:pPr>
              <w:keepNext/>
              <w:spacing w:before="240" w:after="60"/>
              <w:ind w:left="708"/>
              <w:outlineLvl w:val="1"/>
              <w:rPr>
                <w:rFonts w:ascii="Arial" w:hAnsi="Arial" w:cs="Arial"/>
                <w:sz w:val="20"/>
                <w:szCs w:val="20"/>
              </w:rPr>
            </w:pPr>
            <w:r>
              <w:rPr>
                <w:rFonts w:ascii="Arial" w:hAnsi="Arial" w:cs="Arial"/>
                <w:sz w:val="20"/>
                <w:szCs w:val="20"/>
              </w:rPr>
              <w:t>Česká republika</w:t>
            </w:r>
          </w:p>
        </w:tc>
      </w:tr>
    </w:tbl>
    <w:p w14:paraId="1DA48B32" w14:textId="77777777" w:rsidR="00C277EC" w:rsidRDefault="00C277EC" w:rsidP="00C277EC"/>
    <w:p w14:paraId="42BBF233" w14:textId="77777777" w:rsidR="00E865A5" w:rsidRDefault="00E865A5" w:rsidP="00DD75A3"/>
    <w:p w14:paraId="093B726B" w14:textId="77777777" w:rsidR="008972A9" w:rsidRPr="00D56E89" w:rsidRDefault="008972A9" w:rsidP="00CE7CE9">
      <w:pPr>
        <w:pStyle w:val="Nadpis2"/>
        <w:numPr>
          <w:ilvl w:val="0"/>
          <w:numId w:val="21"/>
        </w:numPr>
      </w:pPr>
      <w:r w:rsidRPr="00D56E89">
        <w:t>Spoluúčasti</w:t>
      </w:r>
    </w:p>
    <w:p w14:paraId="48A13003" w14:textId="6F2AC3AB" w:rsidR="008972A9" w:rsidRDefault="00820F4F" w:rsidP="00820F4F">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s</w:t>
      </w:r>
      <w:r w:rsidR="008972A9" w:rsidRPr="00D56E89">
        <w:rPr>
          <w:rFonts w:ascii="Arial Narrow" w:hAnsi="Arial Narrow" w:cs="Arial Narrow"/>
          <w:sz w:val="20"/>
          <w:szCs w:val="20"/>
        </w:rPr>
        <w:t>poluúčasti js</w:t>
      </w:r>
      <w:r w:rsidR="009523AC" w:rsidRPr="00D56E89">
        <w:rPr>
          <w:rFonts w:ascii="Arial Narrow" w:hAnsi="Arial Narrow" w:cs="Arial Narrow"/>
          <w:sz w:val="20"/>
          <w:szCs w:val="20"/>
        </w:rPr>
        <w:t>ou uvedené v pojistném programu</w:t>
      </w:r>
      <w:bookmarkEnd w:id="1"/>
      <w:bookmarkEnd w:id="2"/>
    </w:p>
    <w:p w14:paraId="56A16903" w14:textId="77777777" w:rsidR="00AD1A90" w:rsidRPr="00D56E89" w:rsidRDefault="00AD1A90" w:rsidP="00820F4F">
      <w:pPr>
        <w:keepNext/>
        <w:spacing w:before="240" w:after="60"/>
        <w:ind w:left="360"/>
        <w:outlineLvl w:val="1"/>
        <w:rPr>
          <w:rFonts w:ascii="Arial Narrow" w:hAnsi="Arial Narrow" w:cs="Arial Narrow"/>
          <w:sz w:val="20"/>
          <w:szCs w:val="20"/>
        </w:rPr>
      </w:pPr>
    </w:p>
    <w:p w14:paraId="6ABBC552" w14:textId="77777777" w:rsidR="007C5A3F" w:rsidRPr="00D56E89" w:rsidRDefault="007C5A3F" w:rsidP="00CE7CE9">
      <w:pPr>
        <w:pStyle w:val="Nadpis2"/>
        <w:numPr>
          <w:ilvl w:val="0"/>
          <w:numId w:val="21"/>
        </w:numPr>
      </w:pPr>
      <w:r w:rsidRPr="00D56E89">
        <w:t>Povinná smluvní ujednání</w:t>
      </w:r>
    </w:p>
    <w:p w14:paraId="408DB9A6" w14:textId="6F1782EC" w:rsidR="007C5A3F" w:rsidRPr="00D56E89" w:rsidRDefault="007C5A3F"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Dodavatelé musí ve své nabídce výslovně doložkou uvedenou v pojistné smlouvě akceptovat, že pojistné částky odpovídají pojistné hodnotě vyjádřené jako „nová cena“, tzn. nákladům na znovupořízení pojištěných věcí v novém stavu. Vítězný pojistitel tak nebude zkoumat správnost stanovených pojistných částek a nebude namítat podpojištění.</w:t>
      </w:r>
    </w:p>
    <w:p w14:paraId="1817ED80" w14:textId="77777777" w:rsidR="007C5A3F" w:rsidRPr="00D56E89" w:rsidRDefault="007C5A3F"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Škody způsobené nebezpečím „záplava nebo povodeň“, „vichřice nebo krupobití“ a nastalé z jedné příčiny během 72 hodin se hodnotí jako jedna pojistná událost a z tohoto titulu se odečítá pouze jedna spoluúčast.</w:t>
      </w:r>
    </w:p>
    <w:p w14:paraId="68FEF2F5" w14:textId="77777777" w:rsidR="007C5A3F" w:rsidRPr="00D56E89" w:rsidRDefault="007C5A3F"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V případě pojistné události na více předmětech pojištění současně z téže příčiny se při likvidaci pojistné události od celkového pojistného plnění za pojistnou událost odečítá pouze ta spoluúčast, která je nejvyšší ze všech spoluúčastí sjednaných (vypočtených) pro každý jednotlivý předmět pojištění postižený touto pojistnou událostí.</w:t>
      </w:r>
    </w:p>
    <w:p w14:paraId="17BB8855" w14:textId="77777777" w:rsidR="007C5A3F" w:rsidRPr="00D56E89" w:rsidRDefault="007C5A3F" w:rsidP="007C5A3F">
      <w:pPr>
        <w:widowControl w:val="0"/>
        <w:numPr>
          <w:ilvl w:val="0"/>
          <w:numId w:val="6"/>
        </w:numPr>
        <w:autoSpaceDE w:val="0"/>
        <w:autoSpaceDN w:val="0"/>
        <w:adjustRightInd w:val="0"/>
        <w:spacing w:line="288" w:lineRule="atLeast"/>
        <w:jc w:val="both"/>
        <w:rPr>
          <w:rFonts w:ascii="Arial" w:hAnsi="Arial" w:cs="Arial"/>
        </w:rPr>
      </w:pPr>
      <w:r w:rsidRPr="00D56E89">
        <w:rPr>
          <w:rFonts w:ascii="Arial Narrow" w:hAnsi="Arial Narrow" w:cs="Arial Narrow"/>
          <w:sz w:val="20"/>
          <w:szCs w:val="20"/>
        </w:rPr>
        <w:t>Snížila-li se v průběhu pojistného roku v důsledku vzniku pojistné události horní hranice plnění pojistitele, pojistitel na základě žádosti pojistníka souhlasí pro zbytek pojistného roku s obnovením limitu pojistného plnění (jsou-li limity pojistného plnění koncipovány jako agregátní) za předpokladu doplacení pojistného při stejné pojistné sazbě</w:t>
      </w:r>
      <w:r w:rsidRPr="00D56E89">
        <w:rPr>
          <w:rFonts w:ascii="Arial" w:hAnsi="Arial" w:cs="Arial"/>
        </w:rPr>
        <w:t>.</w:t>
      </w:r>
    </w:p>
    <w:p w14:paraId="1069EADD" w14:textId="01A96BAE" w:rsidR="007C5A3F" w:rsidRDefault="007C5A3F"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 xml:space="preserve">Pojištění „záplava, povodeň“ resp. „vodovodních škod“ se vztahuje i na škody způsobené zpětným vystoupením vody z kanalizačního potrubí. Toto nebezpečí se sjednává s maximálním ročním limitem plnění </w:t>
      </w:r>
      <w:r w:rsidR="00503AC4" w:rsidRPr="00D56E89">
        <w:rPr>
          <w:rFonts w:ascii="Arial Narrow" w:hAnsi="Arial Narrow" w:cs="Arial Narrow"/>
          <w:sz w:val="20"/>
          <w:szCs w:val="20"/>
        </w:rPr>
        <w:t>5</w:t>
      </w:r>
      <w:r w:rsidRPr="00D56E89">
        <w:rPr>
          <w:rFonts w:ascii="Arial Narrow" w:hAnsi="Arial Narrow" w:cs="Arial Narrow"/>
          <w:sz w:val="20"/>
          <w:szCs w:val="20"/>
        </w:rPr>
        <w:t xml:space="preserve"> mil. Kč se spoluúčastí </w:t>
      </w:r>
      <w:r w:rsidR="00AD1A90">
        <w:rPr>
          <w:rFonts w:ascii="Arial Narrow" w:hAnsi="Arial Narrow" w:cs="Arial Narrow"/>
          <w:sz w:val="20"/>
          <w:szCs w:val="20"/>
        </w:rPr>
        <w:t>1</w:t>
      </w:r>
      <w:r w:rsidR="00503AC4" w:rsidRPr="00D56E89">
        <w:rPr>
          <w:rFonts w:ascii="Arial Narrow" w:hAnsi="Arial Narrow" w:cs="Arial Narrow"/>
          <w:sz w:val="20"/>
          <w:szCs w:val="20"/>
        </w:rPr>
        <w:t>0.</w:t>
      </w:r>
      <w:r w:rsidRPr="00D56E89">
        <w:rPr>
          <w:rFonts w:ascii="Arial Narrow" w:hAnsi="Arial Narrow" w:cs="Arial Narrow"/>
          <w:sz w:val="20"/>
          <w:szCs w:val="20"/>
        </w:rPr>
        <w:t>000 Kč.</w:t>
      </w:r>
    </w:p>
    <w:p w14:paraId="5B949FC4" w14:textId="2D0BADA5" w:rsidR="00AD1A90" w:rsidRPr="00D56E89" w:rsidRDefault="00AD1A90"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Pr>
          <w:rFonts w:ascii="Arial Narrow" w:hAnsi="Arial Narrow" w:cs="Arial Narrow"/>
          <w:sz w:val="20"/>
          <w:szCs w:val="20"/>
        </w:rPr>
        <w:t>Pojištění se vztahuje i na přepětí</w:t>
      </w:r>
      <w:r w:rsidR="006F0C4A">
        <w:rPr>
          <w:rFonts w:ascii="Arial Narrow" w:hAnsi="Arial Narrow" w:cs="Arial Narrow"/>
          <w:sz w:val="20"/>
          <w:szCs w:val="20"/>
        </w:rPr>
        <w:t>, nepřímý úder blesku se sjednává s ročním limitem pojistného plnění ve výši 5 000 000 Kč a spoluúčastí ve výši 10 000 Kč.</w:t>
      </w:r>
    </w:p>
    <w:p w14:paraId="4A63ECC9" w14:textId="77777777" w:rsidR="007C5A3F" w:rsidRPr="00D56E89" w:rsidRDefault="007C5A3F" w:rsidP="007C5A3F">
      <w:pPr>
        <w:widowControl w:val="0"/>
        <w:numPr>
          <w:ilvl w:val="0"/>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Pojištění se vztahuje i na:</w:t>
      </w:r>
    </w:p>
    <w:p w14:paraId="767FC650" w14:textId="77777777" w:rsidR="007C5A3F" w:rsidRPr="00D56E89" w:rsidRDefault="007C5A3F" w:rsidP="007C5A3F">
      <w:pPr>
        <w:widowControl w:val="0"/>
        <w:numPr>
          <w:ilvl w:val="1"/>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poškození nebo zničení pojištěné budovy nebo stavby nebo pojištěné věci v nich uložené vodou z přívalového deště, která vnikne do pojištěné budovy nebo stavby a poškodí nebo zničí pojištěné věci,</w:t>
      </w:r>
    </w:p>
    <w:p w14:paraId="1EE7EF77" w14:textId="77777777" w:rsidR="007C5A3F" w:rsidRPr="00D56E89" w:rsidRDefault="007C5A3F" w:rsidP="007C5A3F">
      <w:pPr>
        <w:widowControl w:val="0"/>
        <w:numPr>
          <w:ilvl w:val="1"/>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poškození nebo zničení pojištěné budovy nebo stavby nebo pojištěné věci v nich uložené působením vody vzniklé táním sněhové nebo ledové vrstvy, která vnikne do pojištěné budovy nebo stavby a poškodí nebo zničí pojištěné věci,</w:t>
      </w:r>
    </w:p>
    <w:p w14:paraId="42DA5A35" w14:textId="77777777" w:rsidR="007C5A3F" w:rsidRPr="00D56E89" w:rsidRDefault="007C5A3F" w:rsidP="007C5A3F">
      <w:pPr>
        <w:widowControl w:val="0"/>
        <w:numPr>
          <w:ilvl w:val="1"/>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poškození nebo zničení pojištěné budovy nebo stavby nebo pojištěné věci v nich uložené, kdy v důsledku sněhové nebo ledové vrstvy svodem dešťové vody neodtéká roztátý sníh nebo led nebo že svod dešťové vody nestačí odebírat vodu z přívalového deště, přičemž vnější plášť ani zastřešení pojištěné budovy nejeví známky poruchy, poškození nebo zhoršení své funkčnosti.</w:t>
      </w:r>
    </w:p>
    <w:p w14:paraId="4DC38303" w14:textId="3411557B" w:rsidR="007C5A3F" w:rsidRDefault="007C5A3F" w:rsidP="007C5A3F">
      <w:pPr>
        <w:widowControl w:val="0"/>
        <w:numPr>
          <w:ilvl w:val="1"/>
          <w:numId w:val="6"/>
        </w:numPr>
        <w:autoSpaceDE w:val="0"/>
        <w:autoSpaceDN w:val="0"/>
        <w:adjustRightInd w:val="0"/>
        <w:spacing w:line="288" w:lineRule="atLeast"/>
        <w:jc w:val="both"/>
        <w:rPr>
          <w:rFonts w:ascii="Arial Narrow" w:hAnsi="Arial Narrow" w:cs="Arial Narrow"/>
          <w:sz w:val="20"/>
          <w:szCs w:val="20"/>
        </w:rPr>
      </w:pPr>
      <w:r w:rsidRPr="00D56E89">
        <w:rPr>
          <w:rFonts w:ascii="Arial Narrow" w:hAnsi="Arial Narrow" w:cs="Arial Narrow"/>
          <w:sz w:val="20"/>
          <w:szCs w:val="20"/>
        </w:rPr>
        <w:t xml:space="preserve">Pojištění dle tohoto bodu se sjednává s ročním limitem pojistného plnění ve výši </w:t>
      </w:r>
      <w:r w:rsidR="007A20A3" w:rsidRPr="00D56E89">
        <w:rPr>
          <w:rFonts w:ascii="Arial Narrow" w:hAnsi="Arial Narrow" w:cs="Arial Narrow"/>
          <w:sz w:val="20"/>
          <w:szCs w:val="20"/>
        </w:rPr>
        <w:t xml:space="preserve">5 000 000 Kč </w:t>
      </w:r>
      <w:r w:rsidRPr="00D56E89">
        <w:rPr>
          <w:rFonts w:ascii="Arial Narrow" w:hAnsi="Arial Narrow" w:cs="Arial Narrow"/>
          <w:sz w:val="20"/>
          <w:szCs w:val="20"/>
        </w:rPr>
        <w:t xml:space="preserve">a spoluúčastí ve výši </w:t>
      </w:r>
      <w:r w:rsidR="00AD1A90">
        <w:rPr>
          <w:rFonts w:ascii="Arial Narrow" w:hAnsi="Arial Narrow" w:cs="Arial Narrow"/>
          <w:sz w:val="20"/>
          <w:szCs w:val="20"/>
        </w:rPr>
        <w:t>1</w:t>
      </w:r>
      <w:r w:rsidR="00503AC4" w:rsidRPr="00D56E89">
        <w:rPr>
          <w:rFonts w:ascii="Arial Narrow" w:hAnsi="Arial Narrow" w:cs="Arial Narrow"/>
          <w:sz w:val="20"/>
          <w:szCs w:val="20"/>
        </w:rPr>
        <w:t>0</w:t>
      </w:r>
      <w:r w:rsidRPr="00D56E89">
        <w:rPr>
          <w:rFonts w:ascii="Arial Narrow" w:hAnsi="Arial Narrow" w:cs="Arial Narrow"/>
          <w:sz w:val="20"/>
          <w:szCs w:val="20"/>
        </w:rPr>
        <w:t>.000 Kč.</w:t>
      </w:r>
    </w:p>
    <w:p w14:paraId="0BBD8BD0" w14:textId="77777777" w:rsidR="00AD1A90" w:rsidRPr="00D56E89" w:rsidRDefault="00AD1A90" w:rsidP="00C17979">
      <w:pPr>
        <w:widowControl w:val="0"/>
        <w:autoSpaceDE w:val="0"/>
        <w:autoSpaceDN w:val="0"/>
        <w:adjustRightInd w:val="0"/>
        <w:spacing w:line="288" w:lineRule="atLeast"/>
        <w:ind w:left="1080"/>
        <w:jc w:val="both"/>
        <w:rPr>
          <w:rFonts w:ascii="Arial Narrow" w:hAnsi="Arial Narrow" w:cs="Arial Narrow"/>
          <w:sz w:val="20"/>
          <w:szCs w:val="20"/>
        </w:rPr>
      </w:pPr>
    </w:p>
    <w:p w14:paraId="6085E92C" w14:textId="77777777" w:rsidR="00BC4DD2" w:rsidRPr="00D56E89" w:rsidRDefault="00BC4DD2" w:rsidP="00CE7CE9">
      <w:pPr>
        <w:pStyle w:val="Nadpis2"/>
        <w:numPr>
          <w:ilvl w:val="0"/>
          <w:numId w:val="21"/>
        </w:numPr>
      </w:pPr>
      <w:r w:rsidRPr="00D56E89">
        <w:lastRenderedPageBreak/>
        <w:t>Pojistné události</w:t>
      </w:r>
    </w:p>
    <w:p w14:paraId="7373B75F" w14:textId="435EB5F3" w:rsidR="008924E1" w:rsidRPr="00367C07" w:rsidRDefault="008924E1" w:rsidP="008924E1">
      <w:pPr>
        <w:keepNext/>
        <w:spacing w:before="240" w:after="60"/>
        <w:ind w:left="360"/>
        <w:outlineLvl w:val="1"/>
        <w:rPr>
          <w:rFonts w:ascii="Arial Narrow" w:hAnsi="Arial Narrow" w:cs="Arial Narrow"/>
          <w:sz w:val="20"/>
          <w:szCs w:val="20"/>
        </w:rPr>
      </w:pPr>
      <w:r w:rsidRPr="00367C07">
        <w:rPr>
          <w:rFonts w:ascii="Arial Narrow" w:hAnsi="Arial Narrow" w:cs="Arial Narrow"/>
          <w:sz w:val="20"/>
          <w:szCs w:val="20"/>
        </w:rPr>
        <w:t>2020</w:t>
      </w:r>
    </w:p>
    <w:p w14:paraId="394EB3D2" w14:textId="639F26F8" w:rsidR="008924E1" w:rsidRPr="00367C07" w:rsidRDefault="008924E1" w:rsidP="008924E1">
      <w:pPr>
        <w:keepNext/>
        <w:spacing w:after="60"/>
        <w:ind w:left="360"/>
        <w:outlineLvl w:val="1"/>
        <w:rPr>
          <w:rFonts w:ascii="Arial Narrow" w:hAnsi="Arial Narrow" w:cs="Arial Narrow"/>
          <w:sz w:val="20"/>
          <w:szCs w:val="20"/>
        </w:rPr>
      </w:pPr>
      <w:r w:rsidRPr="00367C07">
        <w:rPr>
          <w:rFonts w:ascii="Arial Narrow" w:hAnsi="Arial Narrow" w:cs="Arial Narrow"/>
          <w:sz w:val="20"/>
          <w:szCs w:val="20"/>
        </w:rPr>
        <w:t xml:space="preserve">Počet škod </w:t>
      </w:r>
      <w:r w:rsidR="00C64CE9">
        <w:rPr>
          <w:rFonts w:ascii="Arial Narrow" w:hAnsi="Arial Narrow" w:cs="Arial Narrow"/>
          <w:sz w:val="20"/>
          <w:szCs w:val="20"/>
        </w:rPr>
        <w:t>7</w:t>
      </w:r>
      <w:r w:rsidRPr="00367C07">
        <w:rPr>
          <w:rFonts w:ascii="Arial Narrow" w:hAnsi="Arial Narrow" w:cs="Arial Narrow"/>
          <w:sz w:val="20"/>
          <w:szCs w:val="20"/>
        </w:rPr>
        <w:t xml:space="preserve"> / plnění vč. rezerv </w:t>
      </w:r>
      <w:r w:rsidR="00C64CE9">
        <w:rPr>
          <w:rFonts w:ascii="Arial Narrow" w:hAnsi="Arial Narrow" w:cs="Arial Narrow"/>
          <w:sz w:val="20"/>
          <w:szCs w:val="20"/>
        </w:rPr>
        <w:t>491 894</w:t>
      </w:r>
      <w:r w:rsidRPr="00367C07">
        <w:rPr>
          <w:rFonts w:ascii="Arial Narrow" w:hAnsi="Arial Narrow" w:cs="Arial Narrow"/>
          <w:sz w:val="20"/>
          <w:szCs w:val="20"/>
        </w:rPr>
        <w:t>. Kč</w:t>
      </w:r>
    </w:p>
    <w:p w14:paraId="1B553FF4" w14:textId="7DBEA23B" w:rsidR="008924E1" w:rsidRPr="00367C07" w:rsidRDefault="008924E1" w:rsidP="008924E1">
      <w:pPr>
        <w:keepNext/>
        <w:spacing w:after="60"/>
        <w:ind w:left="360"/>
        <w:outlineLvl w:val="1"/>
        <w:rPr>
          <w:rFonts w:ascii="Arial Narrow" w:hAnsi="Arial Narrow" w:cs="Arial Narrow"/>
          <w:sz w:val="20"/>
          <w:szCs w:val="20"/>
        </w:rPr>
      </w:pPr>
      <w:r w:rsidRPr="00367C07">
        <w:rPr>
          <w:rFonts w:ascii="Arial Narrow" w:hAnsi="Arial Narrow" w:cs="Arial Narrow"/>
          <w:sz w:val="20"/>
          <w:szCs w:val="20"/>
        </w:rPr>
        <w:t>Vodovodní škoda: 1 /</w:t>
      </w:r>
      <w:r w:rsidR="00E865A5">
        <w:rPr>
          <w:rFonts w:ascii="Arial Narrow" w:hAnsi="Arial Narrow" w:cs="Arial Narrow"/>
          <w:sz w:val="20"/>
          <w:szCs w:val="20"/>
        </w:rPr>
        <w:t xml:space="preserve"> </w:t>
      </w:r>
      <w:r w:rsidR="007E10A0">
        <w:rPr>
          <w:rFonts w:ascii="Arial Narrow" w:hAnsi="Arial Narrow" w:cs="Arial Narrow"/>
          <w:sz w:val="20"/>
          <w:szCs w:val="20"/>
        </w:rPr>
        <w:t>180 005</w:t>
      </w:r>
      <w:r w:rsidRPr="00367C07">
        <w:rPr>
          <w:rFonts w:ascii="Arial Narrow" w:hAnsi="Arial Narrow" w:cs="Arial Narrow"/>
          <w:sz w:val="20"/>
          <w:szCs w:val="20"/>
        </w:rPr>
        <w:t xml:space="preserve"> Kč</w:t>
      </w:r>
    </w:p>
    <w:p w14:paraId="3083441D" w14:textId="6BA6EC28" w:rsidR="008924E1" w:rsidRDefault="008924E1" w:rsidP="008924E1">
      <w:pPr>
        <w:keepNext/>
        <w:spacing w:after="60"/>
        <w:ind w:left="360"/>
        <w:outlineLvl w:val="1"/>
        <w:rPr>
          <w:rFonts w:ascii="Arial Narrow" w:hAnsi="Arial Narrow" w:cs="Arial Narrow"/>
          <w:sz w:val="20"/>
          <w:szCs w:val="20"/>
        </w:rPr>
      </w:pPr>
      <w:r w:rsidRPr="00367C07">
        <w:rPr>
          <w:rFonts w:ascii="Arial Narrow" w:hAnsi="Arial Narrow" w:cs="Arial Narrow"/>
          <w:sz w:val="20"/>
          <w:szCs w:val="20"/>
        </w:rPr>
        <w:t xml:space="preserve">Vandalismus: 1 / </w:t>
      </w:r>
      <w:r w:rsidR="007E10A0">
        <w:rPr>
          <w:rFonts w:ascii="Arial Narrow" w:hAnsi="Arial Narrow" w:cs="Arial Narrow"/>
          <w:sz w:val="20"/>
          <w:szCs w:val="20"/>
        </w:rPr>
        <w:t>132 531</w:t>
      </w:r>
      <w:r w:rsidRPr="00367C07">
        <w:rPr>
          <w:rFonts w:ascii="Arial Narrow" w:hAnsi="Arial Narrow" w:cs="Arial Narrow"/>
          <w:sz w:val="20"/>
          <w:szCs w:val="20"/>
        </w:rPr>
        <w:t xml:space="preserve"> Kč</w:t>
      </w:r>
    </w:p>
    <w:p w14:paraId="3DF00AAC" w14:textId="15629A43" w:rsidR="00C64CE9" w:rsidRDefault="00C64CE9"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Skla: 2 /</w:t>
      </w:r>
      <w:r w:rsidR="00E865A5">
        <w:rPr>
          <w:rFonts w:ascii="Arial Narrow" w:hAnsi="Arial Narrow" w:cs="Arial Narrow"/>
          <w:sz w:val="20"/>
          <w:szCs w:val="20"/>
        </w:rPr>
        <w:t xml:space="preserve"> </w:t>
      </w:r>
      <w:r>
        <w:rPr>
          <w:rFonts w:ascii="Arial Narrow" w:hAnsi="Arial Narrow" w:cs="Arial Narrow"/>
          <w:sz w:val="20"/>
          <w:szCs w:val="20"/>
        </w:rPr>
        <w:t>52 064. Kč</w:t>
      </w:r>
    </w:p>
    <w:p w14:paraId="7AA320FC" w14:textId="02C4B451" w:rsidR="007E10A0" w:rsidRDefault="007E10A0"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Odcizení: 2 /</w:t>
      </w:r>
      <w:r w:rsidR="00E865A5">
        <w:rPr>
          <w:rFonts w:ascii="Arial Narrow" w:hAnsi="Arial Narrow" w:cs="Arial Narrow"/>
          <w:sz w:val="20"/>
          <w:szCs w:val="20"/>
        </w:rPr>
        <w:t xml:space="preserve"> </w:t>
      </w:r>
      <w:r>
        <w:rPr>
          <w:rFonts w:ascii="Arial Narrow" w:hAnsi="Arial Narrow" w:cs="Arial Narrow"/>
          <w:sz w:val="20"/>
          <w:szCs w:val="20"/>
        </w:rPr>
        <w:t>80 509 Kč</w:t>
      </w:r>
    </w:p>
    <w:p w14:paraId="640FBE23" w14:textId="4F462ED6" w:rsidR="007E10A0" w:rsidRDefault="007E10A0"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Odpovědnost: 1 /</w:t>
      </w:r>
      <w:r w:rsidR="00E865A5">
        <w:rPr>
          <w:rFonts w:ascii="Arial Narrow" w:hAnsi="Arial Narrow" w:cs="Arial Narrow"/>
          <w:sz w:val="20"/>
          <w:szCs w:val="20"/>
        </w:rPr>
        <w:t xml:space="preserve"> </w:t>
      </w:r>
      <w:r>
        <w:rPr>
          <w:rFonts w:ascii="Arial Narrow" w:hAnsi="Arial Narrow" w:cs="Arial Narrow"/>
          <w:sz w:val="20"/>
          <w:szCs w:val="20"/>
        </w:rPr>
        <w:t>46 785 Kč</w:t>
      </w:r>
    </w:p>
    <w:p w14:paraId="5E315D41" w14:textId="26D3658D" w:rsidR="006F5389" w:rsidRDefault="006F5389" w:rsidP="008924E1">
      <w:pPr>
        <w:keepNext/>
        <w:spacing w:after="60"/>
        <w:ind w:left="360"/>
        <w:outlineLvl w:val="1"/>
        <w:rPr>
          <w:rFonts w:ascii="Arial Narrow" w:hAnsi="Arial Narrow" w:cs="Arial Narrow"/>
          <w:sz w:val="20"/>
          <w:szCs w:val="20"/>
        </w:rPr>
      </w:pPr>
    </w:p>
    <w:p w14:paraId="16EB8B05" w14:textId="729CBE13" w:rsidR="006F5389" w:rsidRDefault="006F5389"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2021</w:t>
      </w:r>
    </w:p>
    <w:p w14:paraId="0867B1D7" w14:textId="527FB66A" w:rsidR="006F5389" w:rsidRDefault="006F5389" w:rsidP="006F5389">
      <w:pPr>
        <w:keepNext/>
        <w:spacing w:after="60"/>
        <w:ind w:left="360"/>
        <w:outlineLvl w:val="1"/>
        <w:rPr>
          <w:rFonts w:ascii="Arial Narrow" w:hAnsi="Arial Narrow" w:cs="Arial Narrow"/>
          <w:sz w:val="20"/>
          <w:szCs w:val="20"/>
        </w:rPr>
      </w:pPr>
      <w:r w:rsidRPr="00367C07">
        <w:rPr>
          <w:rFonts w:ascii="Arial Narrow" w:hAnsi="Arial Narrow" w:cs="Arial Narrow"/>
          <w:sz w:val="20"/>
          <w:szCs w:val="20"/>
        </w:rPr>
        <w:t xml:space="preserve">Počet škod </w:t>
      </w:r>
      <w:r>
        <w:rPr>
          <w:rFonts w:ascii="Arial Narrow" w:hAnsi="Arial Narrow" w:cs="Arial Narrow"/>
          <w:sz w:val="20"/>
          <w:szCs w:val="20"/>
        </w:rPr>
        <w:t>7</w:t>
      </w:r>
      <w:r w:rsidRPr="00367C07">
        <w:rPr>
          <w:rFonts w:ascii="Arial Narrow" w:hAnsi="Arial Narrow" w:cs="Arial Narrow"/>
          <w:sz w:val="20"/>
          <w:szCs w:val="20"/>
        </w:rPr>
        <w:t xml:space="preserve"> / plnění vč. rezerv </w:t>
      </w:r>
      <w:r>
        <w:rPr>
          <w:rFonts w:ascii="Arial Narrow" w:hAnsi="Arial Narrow" w:cs="Arial Narrow"/>
          <w:sz w:val="20"/>
          <w:szCs w:val="20"/>
        </w:rPr>
        <w:t>748 460.</w:t>
      </w:r>
      <w:r w:rsidRPr="00367C07">
        <w:rPr>
          <w:rFonts w:ascii="Arial Narrow" w:hAnsi="Arial Narrow" w:cs="Arial Narrow"/>
          <w:sz w:val="20"/>
          <w:szCs w:val="20"/>
        </w:rPr>
        <w:t xml:space="preserve"> Kč</w:t>
      </w:r>
    </w:p>
    <w:p w14:paraId="169967EC" w14:textId="0885D5DB" w:rsidR="006F5389" w:rsidRDefault="006F5389"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Živel: 5 /</w:t>
      </w:r>
      <w:r w:rsidR="00E865A5">
        <w:rPr>
          <w:rFonts w:ascii="Arial Narrow" w:hAnsi="Arial Narrow" w:cs="Arial Narrow"/>
          <w:sz w:val="20"/>
          <w:szCs w:val="20"/>
        </w:rPr>
        <w:t xml:space="preserve"> </w:t>
      </w:r>
      <w:r>
        <w:rPr>
          <w:rFonts w:ascii="Arial Narrow" w:hAnsi="Arial Narrow" w:cs="Arial Narrow"/>
          <w:sz w:val="20"/>
          <w:szCs w:val="20"/>
        </w:rPr>
        <w:t>535 304 Kč</w:t>
      </w:r>
    </w:p>
    <w:p w14:paraId="73FA21BF" w14:textId="1169E1C4" w:rsidR="006F5389" w:rsidRDefault="006F5389"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Vodovodní škoda: 1 /</w:t>
      </w:r>
      <w:r w:rsidR="00E865A5">
        <w:rPr>
          <w:rFonts w:ascii="Arial Narrow" w:hAnsi="Arial Narrow" w:cs="Arial Narrow"/>
          <w:sz w:val="20"/>
          <w:szCs w:val="20"/>
        </w:rPr>
        <w:t xml:space="preserve"> </w:t>
      </w:r>
      <w:r>
        <w:rPr>
          <w:rFonts w:ascii="Arial Narrow" w:hAnsi="Arial Narrow" w:cs="Arial Narrow"/>
          <w:sz w:val="20"/>
          <w:szCs w:val="20"/>
        </w:rPr>
        <w:t>173 156 Kč</w:t>
      </w:r>
    </w:p>
    <w:p w14:paraId="476FA41C" w14:textId="2606E051" w:rsidR="006F5389" w:rsidRDefault="006F5389"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Odcizení: 1 /</w:t>
      </w:r>
      <w:r w:rsidR="00E865A5">
        <w:rPr>
          <w:rFonts w:ascii="Arial Narrow" w:hAnsi="Arial Narrow" w:cs="Arial Narrow"/>
          <w:sz w:val="20"/>
          <w:szCs w:val="20"/>
        </w:rPr>
        <w:t xml:space="preserve"> </w:t>
      </w:r>
      <w:r>
        <w:rPr>
          <w:rFonts w:ascii="Arial Narrow" w:hAnsi="Arial Narrow" w:cs="Arial Narrow"/>
          <w:sz w:val="20"/>
          <w:szCs w:val="20"/>
        </w:rPr>
        <w:t>40 000 Kč</w:t>
      </w:r>
    </w:p>
    <w:p w14:paraId="08BAED50" w14:textId="77777777" w:rsidR="00A04AAE" w:rsidRDefault="00A04AAE" w:rsidP="006F5389">
      <w:pPr>
        <w:keepNext/>
        <w:spacing w:after="60"/>
        <w:ind w:left="360"/>
        <w:outlineLvl w:val="1"/>
        <w:rPr>
          <w:rFonts w:ascii="Arial Narrow" w:hAnsi="Arial Narrow" w:cs="Arial Narrow"/>
          <w:sz w:val="20"/>
          <w:szCs w:val="20"/>
        </w:rPr>
      </w:pPr>
    </w:p>
    <w:p w14:paraId="4EDF034F" w14:textId="37EF92AE" w:rsidR="00A04AAE" w:rsidRDefault="00A04AAE"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2022</w:t>
      </w:r>
    </w:p>
    <w:p w14:paraId="78611297" w14:textId="389F9786" w:rsidR="00A04AAE" w:rsidRDefault="00A04AAE"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 xml:space="preserve">Počet škod </w:t>
      </w:r>
      <w:r w:rsidR="00E602A2">
        <w:rPr>
          <w:rFonts w:ascii="Arial Narrow" w:hAnsi="Arial Narrow" w:cs="Arial Narrow"/>
          <w:sz w:val="20"/>
          <w:szCs w:val="20"/>
        </w:rPr>
        <w:t>5</w:t>
      </w:r>
      <w:r>
        <w:rPr>
          <w:rFonts w:ascii="Arial Narrow" w:hAnsi="Arial Narrow" w:cs="Arial Narrow"/>
          <w:sz w:val="20"/>
          <w:szCs w:val="20"/>
        </w:rPr>
        <w:t xml:space="preserve"> / plnění vč. rezerv </w:t>
      </w:r>
      <w:r w:rsidR="00E602A2">
        <w:rPr>
          <w:rFonts w:ascii="Arial Narrow" w:hAnsi="Arial Narrow" w:cs="Arial Narrow"/>
          <w:sz w:val="20"/>
          <w:szCs w:val="20"/>
        </w:rPr>
        <w:t>460 307</w:t>
      </w:r>
      <w:r>
        <w:rPr>
          <w:rFonts w:ascii="Arial Narrow" w:hAnsi="Arial Narrow" w:cs="Arial Narrow"/>
          <w:sz w:val="20"/>
          <w:szCs w:val="20"/>
        </w:rPr>
        <w:t xml:space="preserve"> Kč</w:t>
      </w:r>
    </w:p>
    <w:p w14:paraId="087E49FF" w14:textId="70D83B2B" w:rsidR="00A04AAE" w:rsidRDefault="00A04AAE"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 xml:space="preserve">Živel: </w:t>
      </w:r>
      <w:r w:rsidR="00E602A2">
        <w:rPr>
          <w:rFonts w:ascii="Arial Narrow" w:hAnsi="Arial Narrow" w:cs="Arial Narrow"/>
          <w:sz w:val="20"/>
          <w:szCs w:val="20"/>
        </w:rPr>
        <w:t>3</w:t>
      </w:r>
      <w:r>
        <w:rPr>
          <w:rFonts w:ascii="Arial Narrow" w:hAnsi="Arial Narrow" w:cs="Arial Narrow"/>
          <w:sz w:val="20"/>
          <w:szCs w:val="20"/>
        </w:rPr>
        <w:t xml:space="preserve"> /</w:t>
      </w:r>
      <w:r w:rsidR="00E865A5">
        <w:rPr>
          <w:rFonts w:ascii="Arial Narrow" w:hAnsi="Arial Narrow" w:cs="Arial Narrow"/>
          <w:sz w:val="20"/>
          <w:szCs w:val="20"/>
        </w:rPr>
        <w:t xml:space="preserve"> </w:t>
      </w:r>
      <w:r w:rsidR="00E602A2">
        <w:rPr>
          <w:rFonts w:ascii="Arial Narrow" w:hAnsi="Arial Narrow" w:cs="Arial Narrow"/>
          <w:sz w:val="20"/>
          <w:szCs w:val="20"/>
        </w:rPr>
        <w:t>381 829</w:t>
      </w:r>
      <w:r>
        <w:rPr>
          <w:rFonts w:ascii="Arial Narrow" w:hAnsi="Arial Narrow" w:cs="Arial Narrow"/>
          <w:sz w:val="20"/>
          <w:szCs w:val="20"/>
        </w:rPr>
        <w:t xml:space="preserve"> Kč</w:t>
      </w:r>
    </w:p>
    <w:p w14:paraId="1FFE70E4" w14:textId="6754F318" w:rsidR="00A04AAE" w:rsidRDefault="00A04AAE"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Vodovodní škoda: 34 110 Kč</w:t>
      </w:r>
    </w:p>
    <w:p w14:paraId="5BDFC866" w14:textId="64A8B799" w:rsidR="00E602A2" w:rsidRPr="00367C07" w:rsidRDefault="00E602A2" w:rsidP="006F5389">
      <w:pPr>
        <w:keepNext/>
        <w:spacing w:after="60"/>
        <w:ind w:left="360"/>
        <w:outlineLvl w:val="1"/>
        <w:rPr>
          <w:rFonts w:ascii="Arial Narrow" w:hAnsi="Arial Narrow" w:cs="Arial Narrow"/>
          <w:sz w:val="20"/>
          <w:szCs w:val="20"/>
        </w:rPr>
      </w:pPr>
      <w:r>
        <w:rPr>
          <w:rFonts w:ascii="Arial Narrow" w:hAnsi="Arial Narrow" w:cs="Arial Narrow"/>
          <w:sz w:val="20"/>
          <w:szCs w:val="20"/>
        </w:rPr>
        <w:t>Odcizení: 1/ 44 368 Kč</w:t>
      </w:r>
    </w:p>
    <w:p w14:paraId="0234D1B2" w14:textId="77777777" w:rsidR="006F5389" w:rsidRDefault="006F5389" w:rsidP="008924E1">
      <w:pPr>
        <w:keepNext/>
        <w:spacing w:after="60"/>
        <w:ind w:left="360"/>
        <w:outlineLvl w:val="1"/>
        <w:rPr>
          <w:rFonts w:ascii="Arial Narrow" w:hAnsi="Arial Narrow" w:cs="Arial Narrow"/>
          <w:sz w:val="20"/>
          <w:szCs w:val="20"/>
        </w:rPr>
      </w:pPr>
    </w:p>
    <w:p w14:paraId="0A93ECEC" w14:textId="5A46FEAB" w:rsidR="00A04AAE" w:rsidRDefault="00A04AAE"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2023</w:t>
      </w:r>
    </w:p>
    <w:p w14:paraId="7C64F1FD" w14:textId="1C912CBF" w:rsidR="00A04AAE" w:rsidRDefault="00A04AAE"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Počet škod 2 / plnění vč. rezerv 134 367 Kč</w:t>
      </w:r>
    </w:p>
    <w:p w14:paraId="0B72349F" w14:textId="44B33D4B" w:rsidR="00E602A2" w:rsidRDefault="00E602A2"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Živel: 1/ 1 211 Kč</w:t>
      </w:r>
    </w:p>
    <w:p w14:paraId="0E0A60F9" w14:textId="1AA6C8CE" w:rsidR="00A04AAE" w:rsidRDefault="00E602A2" w:rsidP="008924E1">
      <w:pPr>
        <w:keepNext/>
        <w:spacing w:after="60"/>
        <w:ind w:left="360"/>
        <w:outlineLvl w:val="1"/>
        <w:rPr>
          <w:rFonts w:ascii="Arial Narrow" w:hAnsi="Arial Narrow" w:cs="Arial Narrow"/>
          <w:sz w:val="20"/>
          <w:szCs w:val="20"/>
        </w:rPr>
      </w:pPr>
      <w:r>
        <w:rPr>
          <w:rFonts w:ascii="Arial Narrow" w:hAnsi="Arial Narrow" w:cs="Arial Narrow"/>
          <w:sz w:val="20"/>
          <w:szCs w:val="20"/>
        </w:rPr>
        <w:t>Vandalismus: 1/ 133 156 Kč</w:t>
      </w:r>
    </w:p>
    <w:p w14:paraId="523A1E3C" w14:textId="77777777" w:rsidR="00E602A2" w:rsidRDefault="00E602A2" w:rsidP="008924E1">
      <w:pPr>
        <w:keepNext/>
        <w:spacing w:after="60"/>
        <w:ind w:left="360"/>
        <w:outlineLvl w:val="1"/>
        <w:rPr>
          <w:rFonts w:ascii="Arial Narrow" w:hAnsi="Arial Narrow" w:cs="Arial Narrow"/>
          <w:sz w:val="20"/>
          <w:szCs w:val="20"/>
        </w:rPr>
      </w:pPr>
    </w:p>
    <w:p w14:paraId="17BC49C6" w14:textId="6BCE497C"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2024</w:t>
      </w:r>
    </w:p>
    <w:p w14:paraId="2D66E070" w14:textId="453A4481"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Počet škod 2 / plnění vč. rezerv 132 442 Kč</w:t>
      </w:r>
    </w:p>
    <w:p w14:paraId="5EBCF94F" w14:textId="52C40368"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Živel: 1/ 112 130 Kč</w:t>
      </w:r>
    </w:p>
    <w:p w14:paraId="2928BA6A" w14:textId="0D54C92F"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Odpovědnost: 1 / 20 312 Kč</w:t>
      </w:r>
    </w:p>
    <w:p w14:paraId="02E1490E" w14:textId="77777777" w:rsidR="000E08CE" w:rsidRDefault="000E08CE" w:rsidP="008924E1">
      <w:pPr>
        <w:keepNext/>
        <w:spacing w:after="60"/>
        <w:ind w:left="360"/>
        <w:outlineLvl w:val="1"/>
        <w:rPr>
          <w:rFonts w:ascii="Arial Narrow" w:hAnsi="Arial Narrow" w:cs="Arial Narrow"/>
          <w:sz w:val="20"/>
          <w:szCs w:val="20"/>
        </w:rPr>
      </w:pPr>
    </w:p>
    <w:p w14:paraId="11C03588" w14:textId="0A9B9CD4"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2025</w:t>
      </w:r>
    </w:p>
    <w:p w14:paraId="15D24A7F" w14:textId="3394AB0D"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Počet škod 2 / plnění vč. rezerv 1 059 931 Kč</w:t>
      </w:r>
    </w:p>
    <w:p w14:paraId="3F80A46E" w14:textId="34C1C370"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Živel: 1/ 1 000 000 Kč – odhadovaná výš škody</w:t>
      </w:r>
    </w:p>
    <w:p w14:paraId="4530F5F0" w14:textId="7A759EAA"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Odcizení: 1/ 59 931 Kč</w:t>
      </w:r>
    </w:p>
    <w:p w14:paraId="2D72374C" w14:textId="77777777" w:rsidR="000E08CE" w:rsidRDefault="000E08CE" w:rsidP="008924E1">
      <w:pPr>
        <w:keepNext/>
        <w:spacing w:after="60"/>
        <w:ind w:left="360"/>
        <w:outlineLvl w:val="1"/>
        <w:rPr>
          <w:rFonts w:ascii="Arial Narrow" w:hAnsi="Arial Narrow" w:cs="Arial Narrow"/>
          <w:sz w:val="20"/>
          <w:szCs w:val="20"/>
        </w:rPr>
      </w:pPr>
    </w:p>
    <w:p w14:paraId="4D0BB574" w14:textId="30ACCDB6"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2026</w:t>
      </w:r>
    </w:p>
    <w:p w14:paraId="553D0AEA" w14:textId="44A90DB8" w:rsidR="000E08CE" w:rsidRDefault="000E08CE" w:rsidP="000E08CE">
      <w:pPr>
        <w:keepNext/>
        <w:spacing w:after="60"/>
        <w:ind w:left="360"/>
        <w:outlineLvl w:val="1"/>
        <w:rPr>
          <w:rFonts w:ascii="Arial Narrow" w:hAnsi="Arial Narrow" w:cs="Arial Narrow"/>
          <w:sz w:val="20"/>
          <w:szCs w:val="20"/>
        </w:rPr>
      </w:pPr>
      <w:r>
        <w:rPr>
          <w:rFonts w:ascii="Arial Narrow" w:hAnsi="Arial Narrow" w:cs="Arial Narrow"/>
          <w:sz w:val="20"/>
          <w:szCs w:val="20"/>
        </w:rPr>
        <w:t xml:space="preserve">Počet škod 1 / plnění vč. rezerv </w:t>
      </w:r>
      <w:r w:rsidR="00E865A5">
        <w:rPr>
          <w:rFonts w:ascii="Arial Narrow" w:hAnsi="Arial Narrow" w:cs="Arial Narrow"/>
          <w:sz w:val="20"/>
          <w:szCs w:val="20"/>
        </w:rPr>
        <w:t>30</w:t>
      </w:r>
      <w:r>
        <w:rPr>
          <w:rFonts w:ascii="Arial Narrow" w:hAnsi="Arial Narrow" w:cs="Arial Narrow"/>
          <w:sz w:val="20"/>
          <w:szCs w:val="20"/>
        </w:rPr>
        <w:t> </w:t>
      </w:r>
      <w:r w:rsidR="00E865A5">
        <w:rPr>
          <w:rFonts w:ascii="Arial Narrow" w:hAnsi="Arial Narrow" w:cs="Arial Narrow"/>
          <w:sz w:val="20"/>
          <w:szCs w:val="20"/>
        </w:rPr>
        <w:t>000</w:t>
      </w:r>
      <w:r>
        <w:rPr>
          <w:rFonts w:ascii="Arial Narrow" w:hAnsi="Arial Narrow" w:cs="Arial Narrow"/>
          <w:sz w:val="20"/>
          <w:szCs w:val="20"/>
        </w:rPr>
        <w:t xml:space="preserve"> Kč</w:t>
      </w:r>
    </w:p>
    <w:p w14:paraId="0AA01642" w14:textId="42460515" w:rsidR="00E865A5" w:rsidRDefault="000E08CE" w:rsidP="00E865A5">
      <w:pPr>
        <w:keepNext/>
        <w:spacing w:after="60"/>
        <w:ind w:left="360"/>
        <w:outlineLvl w:val="1"/>
        <w:rPr>
          <w:rFonts w:ascii="Arial Narrow" w:hAnsi="Arial Narrow" w:cs="Arial Narrow"/>
          <w:sz w:val="20"/>
          <w:szCs w:val="20"/>
        </w:rPr>
      </w:pPr>
      <w:r>
        <w:rPr>
          <w:rFonts w:ascii="Arial Narrow" w:hAnsi="Arial Narrow" w:cs="Arial Narrow"/>
          <w:sz w:val="20"/>
          <w:szCs w:val="20"/>
        </w:rPr>
        <w:t xml:space="preserve">Vandalismus: 1/ </w:t>
      </w:r>
      <w:r w:rsidR="00E865A5">
        <w:rPr>
          <w:rFonts w:ascii="Arial Narrow" w:hAnsi="Arial Narrow" w:cs="Arial Narrow"/>
          <w:sz w:val="20"/>
          <w:szCs w:val="20"/>
        </w:rPr>
        <w:t>30</w:t>
      </w:r>
      <w:r>
        <w:rPr>
          <w:rFonts w:ascii="Arial Narrow" w:hAnsi="Arial Narrow" w:cs="Arial Narrow"/>
          <w:sz w:val="20"/>
          <w:szCs w:val="20"/>
        </w:rPr>
        <w:t> </w:t>
      </w:r>
      <w:r w:rsidR="00E865A5">
        <w:rPr>
          <w:rFonts w:ascii="Arial Narrow" w:hAnsi="Arial Narrow" w:cs="Arial Narrow"/>
          <w:sz w:val="20"/>
          <w:szCs w:val="20"/>
        </w:rPr>
        <w:t>000</w:t>
      </w:r>
      <w:r>
        <w:rPr>
          <w:rFonts w:ascii="Arial Narrow" w:hAnsi="Arial Narrow" w:cs="Arial Narrow"/>
          <w:sz w:val="20"/>
          <w:szCs w:val="20"/>
        </w:rPr>
        <w:t xml:space="preserve"> Kč</w:t>
      </w:r>
      <w:r w:rsidR="00E865A5">
        <w:rPr>
          <w:rFonts w:ascii="Arial Narrow" w:hAnsi="Arial Narrow" w:cs="Arial Narrow"/>
          <w:sz w:val="20"/>
          <w:szCs w:val="20"/>
        </w:rPr>
        <w:t xml:space="preserve"> – odhadovaná výš</w:t>
      </w:r>
      <w:r w:rsidR="003B42A3">
        <w:rPr>
          <w:rFonts w:ascii="Arial Narrow" w:hAnsi="Arial Narrow" w:cs="Arial Narrow"/>
          <w:sz w:val="20"/>
          <w:szCs w:val="20"/>
        </w:rPr>
        <w:t>e</w:t>
      </w:r>
      <w:r w:rsidR="00E865A5">
        <w:rPr>
          <w:rFonts w:ascii="Arial Narrow" w:hAnsi="Arial Narrow" w:cs="Arial Narrow"/>
          <w:sz w:val="20"/>
          <w:szCs w:val="20"/>
        </w:rPr>
        <w:t xml:space="preserve"> škody</w:t>
      </w:r>
    </w:p>
    <w:p w14:paraId="0EEA6C9D" w14:textId="3A82A051" w:rsidR="000E08CE" w:rsidRDefault="000E08CE" w:rsidP="000E08CE">
      <w:pPr>
        <w:keepNext/>
        <w:spacing w:after="60"/>
        <w:ind w:left="360"/>
        <w:outlineLvl w:val="1"/>
        <w:rPr>
          <w:rFonts w:ascii="Arial Narrow" w:hAnsi="Arial Narrow" w:cs="Arial Narrow"/>
          <w:sz w:val="20"/>
          <w:szCs w:val="20"/>
        </w:rPr>
      </w:pPr>
    </w:p>
    <w:p w14:paraId="1FEEEA0A" w14:textId="77777777" w:rsidR="00B34529" w:rsidRPr="00D56E89" w:rsidRDefault="00B34529" w:rsidP="00CE7CE9">
      <w:pPr>
        <w:pStyle w:val="Nadpis2"/>
        <w:numPr>
          <w:ilvl w:val="0"/>
          <w:numId w:val="21"/>
        </w:numPr>
      </w:pPr>
      <w:r w:rsidRPr="00D56E89">
        <w:t>Správa pojištění</w:t>
      </w:r>
    </w:p>
    <w:p w14:paraId="2B954106" w14:textId="77777777" w:rsidR="00B34529" w:rsidRPr="008972A9" w:rsidRDefault="00B34529" w:rsidP="00B34529">
      <w:pPr>
        <w:keepNext/>
        <w:spacing w:before="240" w:after="60"/>
        <w:ind w:left="360"/>
        <w:outlineLvl w:val="1"/>
        <w:rPr>
          <w:rFonts w:ascii="Arial Narrow" w:hAnsi="Arial Narrow" w:cs="Arial Narrow"/>
          <w:sz w:val="20"/>
          <w:szCs w:val="20"/>
        </w:rPr>
      </w:pPr>
      <w:r w:rsidRPr="00D56E89">
        <w:rPr>
          <w:rFonts w:ascii="Arial Narrow" w:hAnsi="Arial Narrow" w:cs="Arial Narrow"/>
          <w:sz w:val="20"/>
          <w:szCs w:val="20"/>
        </w:rPr>
        <w:t xml:space="preserve">Zadavatel pověřil správou pojištění dle pojistné smlouvy uzavřené s vítězným uchazečem makléřskou společnost C.E.B., a.s. Odměna makléřské společnosti za správu pojištění bude v souladu s ustanovením zákona č. </w:t>
      </w:r>
      <w:r w:rsidR="00030236" w:rsidRPr="00D56E89">
        <w:rPr>
          <w:rFonts w:ascii="Arial Narrow" w:hAnsi="Arial Narrow" w:cs="Arial Narrow"/>
          <w:sz w:val="20"/>
          <w:szCs w:val="20"/>
        </w:rPr>
        <w:t>170/2018 Sb.</w:t>
      </w:r>
      <w:r w:rsidRPr="00D56E89">
        <w:rPr>
          <w:rFonts w:ascii="Arial Narrow" w:hAnsi="Arial Narrow" w:cs="Arial Narrow"/>
          <w:sz w:val="20"/>
          <w:szCs w:val="20"/>
        </w:rPr>
        <w:t xml:space="preserve"> </w:t>
      </w:r>
      <w:r w:rsidR="00F3178B" w:rsidRPr="00D56E89">
        <w:rPr>
          <w:rFonts w:ascii="Arial Narrow" w:hAnsi="Arial Narrow" w:cs="Arial Narrow"/>
          <w:sz w:val="20"/>
          <w:szCs w:val="20"/>
        </w:rPr>
        <w:t>O distribuci pojištění a zajištění</w:t>
      </w:r>
      <w:r w:rsidRPr="00D56E89">
        <w:rPr>
          <w:rFonts w:ascii="Arial Narrow" w:hAnsi="Arial Narrow" w:cs="Arial Narrow"/>
          <w:sz w:val="20"/>
          <w:szCs w:val="20"/>
        </w:rPr>
        <w:t>, v platném znění, vyplácena makléřské sp</w:t>
      </w:r>
      <w:r>
        <w:rPr>
          <w:rFonts w:ascii="Arial Narrow" w:hAnsi="Arial Narrow" w:cs="Arial Narrow"/>
          <w:sz w:val="20"/>
          <w:szCs w:val="20"/>
        </w:rPr>
        <w:t>olečnosti vítězným</w:t>
      </w:r>
      <w:r w:rsidRPr="00B34529">
        <w:rPr>
          <w:rFonts w:ascii="Arial Narrow" w:hAnsi="Arial Narrow" w:cs="Arial Narrow"/>
          <w:sz w:val="20"/>
          <w:szCs w:val="20"/>
        </w:rPr>
        <w:t xml:space="preserve"> pojistitelem. </w:t>
      </w:r>
    </w:p>
    <w:sectPr w:rsidR="00B34529" w:rsidRPr="008972A9" w:rsidSect="00246FE4">
      <w:headerReference w:type="default" r:id="rId8"/>
      <w:footerReference w:type="default" r:id="rId9"/>
      <w:pgSz w:w="11906" w:h="16838"/>
      <w:pgMar w:top="16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E92" w14:textId="77777777" w:rsidR="00BC3D1F" w:rsidRDefault="00BC3D1F">
      <w:r>
        <w:separator/>
      </w:r>
    </w:p>
  </w:endnote>
  <w:endnote w:type="continuationSeparator" w:id="0">
    <w:p w14:paraId="415BBE38" w14:textId="77777777" w:rsidR="00BC3D1F" w:rsidRDefault="00BC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CC7F" w14:textId="77777777" w:rsidR="000F6CBB" w:rsidRPr="00687B6C" w:rsidRDefault="000F6CBB">
    <w:pPr>
      <w:pStyle w:val="Zpat"/>
      <w:rPr>
        <w:rFonts w:ascii="Arial" w:hAnsi="Arial" w:cs="Arial"/>
        <w:sz w:val="16"/>
      </w:rPr>
    </w:pPr>
    <w:r w:rsidRPr="00687B6C">
      <w:rPr>
        <w:rStyle w:val="slostrnky"/>
        <w:rFonts w:ascii="Arial" w:hAnsi="Arial" w:cs="Arial"/>
        <w:sz w:val="16"/>
      </w:rPr>
      <w:fldChar w:fldCharType="begin"/>
    </w:r>
    <w:r w:rsidRPr="00687B6C">
      <w:rPr>
        <w:rStyle w:val="slostrnky"/>
        <w:rFonts w:ascii="Arial" w:hAnsi="Arial" w:cs="Arial"/>
        <w:sz w:val="16"/>
      </w:rPr>
      <w:instrText xml:space="preserve"> PAGE </w:instrText>
    </w:r>
    <w:r w:rsidRPr="00687B6C">
      <w:rPr>
        <w:rStyle w:val="slostrnky"/>
        <w:rFonts w:ascii="Arial" w:hAnsi="Arial" w:cs="Arial"/>
        <w:sz w:val="16"/>
      </w:rPr>
      <w:fldChar w:fldCharType="separate"/>
    </w:r>
    <w:r w:rsidR="003F275D">
      <w:rPr>
        <w:rStyle w:val="slostrnky"/>
        <w:rFonts w:ascii="Arial" w:hAnsi="Arial" w:cs="Arial"/>
        <w:noProof/>
        <w:sz w:val="16"/>
      </w:rPr>
      <w:t>7</w:t>
    </w:r>
    <w:r w:rsidRPr="00687B6C">
      <w:rPr>
        <w:rStyle w:val="slostrnky"/>
        <w:rFonts w:ascii="Arial" w:hAnsi="Arial" w:cs="Arial"/>
        <w:sz w:val="16"/>
      </w:rPr>
      <w:fldChar w:fldCharType="end"/>
    </w:r>
    <w:r w:rsidRPr="00687B6C">
      <w:rPr>
        <w:rStyle w:val="slostrnky"/>
        <w:rFonts w:ascii="Arial" w:hAnsi="Arial" w:cs="Arial"/>
        <w:sz w:val="16"/>
      </w:rPr>
      <w:t>/</w:t>
    </w:r>
    <w:r w:rsidRPr="00687B6C">
      <w:rPr>
        <w:rStyle w:val="slostrnky"/>
        <w:rFonts w:ascii="Arial" w:hAnsi="Arial" w:cs="Arial"/>
        <w:sz w:val="16"/>
      </w:rPr>
      <w:fldChar w:fldCharType="begin"/>
    </w:r>
    <w:r w:rsidRPr="00687B6C">
      <w:rPr>
        <w:rStyle w:val="slostrnky"/>
        <w:rFonts w:ascii="Arial" w:hAnsi="Arial" w:cs="Arial"/>
        <w:sz w:val="16"/>
      </w:rPr>
      <w:instrText xml:space="preserve"> NUMPAGES </w:instrText>
    </w:r>
    <w:r w:rsidRPr="00687B6C">
      <w:rPr>
        <w:rStyle w:val="slostrnky"/>
        <w:rFonts w:ascii="Arial" w:hAnsi="Arial" w:cs="Arial"/>
        <w:sz w:val="16"/>
      </w:rPr>
      <w:fldChar w:fldCharType="separate"/>
    </w:r>
    <w:r w:rsidR="003F275D">
      <w:rPr>
        <w:rStyle w:val="slostrnky"/>
        <w:rFonts w:ascii="Arial" w:hAnsi="Arial" w:cs="Arial"/>
        <w:noProof/>
        <w:sz w:val="16"/>
      </w:rPr>
      <w:t>8</w:t>
    </w:r>
    <w:r w:rsidRPr="00687B6C">
      <w:rPr>
        <w:rStyle w:val="slostrnky"/>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F0D1" w14:textId="77777777" w:rsidR="00BC3D1F" w:rsidRDefault="00BC3D1F">
      <w:r>
        <w:separator/>
      </w:r>
    </w:p>
  </w:footnote>
  <w:footnote w:type="continuationSeparator" w:id="0">
    <w:p w14:paraId="0D595687" w14:textId="77777777" w:rsidR="00BC3D1F" w:rsidRDefault="00BC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9A06F" w14:textId="7257415F" w:rsidR="000F6CBB" w:rsidRPr="00A37F85" w:rsidRDefault="000F6CBB" w:rsidP="00886EC0">
    <w:pPr>
      <w:pStyle w:val="Zhlav"/>
      <w:rPr>
        <w:rFonts w:ascii="Arial" w:hAnsi="Arial" w:cs="Arial"/>
        <w:sz w:val="16"/>
        <w:szCs w:val="16"/>
      </w:rPr>
    </w:pPr>
    <w:r w:rsidRPr="00A37F85">
      <w:rPr>
        <w:rFonts w:ascii="Arial" w:hAnsi="Arial" w:cs="Arial"/>
        <w:sz w:val="16"/>
        <w:szCs w:val="16"/>
      </w:rPr>
      <w:t>Příloha č.</w:t>
    </w:r>
    <w:r w:rsidR="000D1B8B">
      <w:rPr>
        <w:rFonts w:ascii="Arial" w:hAnsi="Arial" w:cs="Arial"/>
        <w:sz w:val="16"/>
        <w:szCs w:val="16"/>
      </w:rPr>
      <w:t xml:space="preserve"> </w:t>
    </w:r>
    <w:r w:rsidR="00CA7F84">
      <w:rPr>
        <w:rFonts w:ascii="Arial" w:hAnsi="Arial" w:cs="Arial"/>
        <w:sz w:val="16"/>
        <w:szCs w:val="16"/>
      </w:rPr>
      <w:t>1</w:t>
    </w:r>
    <w:r w:rsidR="002568D8">
      <w:rPr>
        <w:rFonts w:ascii="Arial" w:hAnsi="Arial" w:cs="Arial"/>
        <w:sz w:val="16"/>
        <w:szCs w:val="16"/>
      </w:rPr>
      <w:t>a</w:t>
    </w:r>
    <w:r w:rsidR="000D1B8B">
      <w:rPr>
        <w:rFonts w:ascii="Arial" w:hAnsi="Arial" w:cs="Arial"/>
        <w:sz w:val="16"/>
        <w:szCs w:val="16"/>
      </w:rPr>
      <w:t>)</w:t>
    </w:r>
    <w:r w:rsidRPr="00A37F85">
      <w:rPr>
        <w:rFonts w:ascii="Arial" w:hAnsi="Arial" w:cs="Arial"/>
        <w:sz w:val="16"/>
        <w:szCs w:val="16"/>
      </w:rPr>
      <w:t xml:space="preserve"> Zadávací dokumentace veřejné zakázky Pojištění nemovitého a movitého majetku, přepravy a odpovědnosti za škodu </w:t>
    </w:r>
    <w:r w:rsidR="007A7790">
      <w:rPr>
        <w:rFonts w:ascii="Arial" w:hAnsi="Arial" w:cs="Arial"/>
        <w:sz w:val="16"/>
        <w:szCs w:val="16"/>
      </w:rPr>
      <w:t>Městské části Praha 17</w:t>
    </w:r>
  </w:p>
  <w:p w14:paraId="533C8888" w14:textId="77777777" w:rsidR="000F6CBB" w:rsidRPr="00886EC0" w:rsidRDefault="000F6CBB" w:rsidP="00886EC0">
    <w:pPr>
      <w:pStyle w:val="Zhlav"/>
      <w:spacing w:before="240"/>
      <w:rPr>
        <w:rFonts w:ascii="Arial" w:hAnsi="Arial" w:cs="Arial"/>
        <w:sz w:val="16"/>
      </w:rPr>
    </w:pPr>
    <w:r w:rsidRPr="00886EC0">
      <w:rPr>
        <w:rFonts w:ascii="Arial" w:hAnsi="Arial" w:cs="Arial"/>
        <w:sz w:val="16"/>
      </w:rPr>
      <w:t xml:space="preserve">Zadavatel: </w:t>
    </w:r>
    <w:r w:rsidR="007A7790">
      <w:rPr>
        <w:rFonts w:ascii="Arial" w:hAnsi="Arial" w:cs="Arial"/>
        <w:sz w:val="16"/>
      </w:rPr>
      <w:t>Městská část Praha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0E"/>
    <w:multiLevelType w:val="multilevel"/>
    <w:tmpl w:val="F96421D0"/>
    <w:lvl w:ilvl="0">
      <w:start w:val="3"/>
      <w:numFmt w:val="decimal"/>
      <w:lvlText w:val="%1."/>
      <w:lvlJc w:val="left"/>
      <w:pPr>
        <w:ind w:left="510" w:hanging="510"/>
      </w:pPr>
      <w:rPr>
        <w:rFonts w:hint="default"/>
      </w:rPr>
    </w:lvl>
    <w:lvl w:ilvl="1">
      <w:start w:val="1"/>
      <w:numFmt w:val="decimal"/>
      <w:lvlText w:val="%1.%2."/>
      <w:lvlJc w:val="left"/>
      <w:pPr>
        <w:ind w:left="870" w:hanging="51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F64D65"/>
    <w:multiLevelType w:val="hybridMultilevel"/>
    <w:tmpl w:val="BF243B24"/>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1030BA"/>
    <w:multiLevelType w:val="hybridMultilevel"/>
    <w:tmpl w:val="4492EF20"/>
    <w:lvl w:ilvl="0" w:tplc="9FAC2DBE">
      <w:start w:val="40"/>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1C73584"/>
    <w:multiLevelType w:val="hybridMultilevel"/>
    <w:tmpl w:val="94FAA92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1F5198E"/>
    <w:multiLevelType w:val="hybridMultilevel"/>
    <w:tmpl w:val="0F6E68CC"/>
    <w:lvl w:ilvl="0" w:tplc="3ACC0982">
      <w:start w:val="27"/>
      <w:numFmt w:val="lowerLetter"/>
      <w:lvlText w:val="%1)"/>
      <w:lvlJc w:val="left"/>
      <w:pPr>
        <w:tabs>
          <w:tab w:val="num" w:pos="1069"/>
        </w:tabs>
        <w:ind w:left="1069" w:hanging="360"/>
      </w:pPr>
      <w:rPr>
        <w:rFonts w:hint="default"/>
      </w:rPr>
    </w:lvl>
    <w:lvl w:ilvl="1" w:tplc="FBEA0A98">
      <w:start w:val="2"/>
      <w:numFmt w:val="decimal"/>
      <w:lvlText w:val="%2."/>
      <w:lvlJc w:val="left"/>
      <w:pPr>
        <w:tabs>
          <w:tab w:val="num" w:pos="1789"/>
        </w:tabs>
        <w:ind w:left="1789" w:hanging="360"/>
      </w:pPr>
      <w:rPr>
        <w:rFonts w:hint="default"/>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5" w15:restartNumberingAfterBreak="0">
    <w:nsid w:val="182B71B1"/>
    <w:multiLevelType w:val="hybridMultilevel"/>
    <w:tmpl w:val="1756836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C0A50AC"/>
    <w:multiLevelType w:val="multilevel"/>
    <w:tmpl w:val="236066B4"/>
    <w:lvl w:ilvl="0">
      <w:start w:val="2"/>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293F9B"/>
    <w:multiLevelType w:val="multilevel"/>
    <w:tmpl w:val="6E843D68"/>
    <w:lvl w:ilvl="0">
      <w:start w:val="1"/>
      <w:numFmt w:val="decimal"/>
      <w:lvlText w:val="%1."/>
      <w:lvlJc w:val="left"/>
      <w:pPr>
        <w:tabs>
          <w:tab w:val="num" w:pos="360"/>
        </w:tabs>
        <w:ind w:left="360" w:hanging="360"/>
      </w:pPr>
      <w:rPr>
        <w:rFonts w:ascii="Times New Roman" w:hAnsi="Times New Roman" w:hint="default"/>
        <w:sz w:val="24"/>
        <w:szCs w:val="24"/>
      </w:rPr>
    </w:lvl>
    <w:lvl w:ilvl="1">
      <w:start w:val="1"/>
      <w:numFmt w:val="decimal"/>
      <w:pStyle w:val="Nadpis2"/>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EC7C4A"/>
    <w:multiLevelType w:val="multilevel"/>
    <w:tmpl w:val="07D003AC"/>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105246"/>
    <w:multiLevelType w:val="hybridMultilevel"/>
    <w:tmpl w:val="1F205044"/>
    <w:lvl w:ilvl="0" w:tplc="04050005">
      <w:start w:val="1"/>
      <w:numFmt w:val="bullet"/>
      <w:lvlText w:val=""/>
      <w:lvlJc w:val="left"/>
      <w:pPr>
        <w:tabs>
          <w:tab w:val="num" w:pos="1068"/>
        </w:tabs>
        <w:ind w:left="1068" w:hanging="360"/>
      </w:pPr>
      <w:rPr>
        <w:rFonts w:ascii="Wingdings" w:hAnsi="Wingding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85D11F3"/>
    <w:multiLevelType w:val="multilevel"/>
    <w:tmpl w:val="B1CED1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3EBF5A55"/>
    <w:multiLevelType w:val="multilevel"/>
    <w:tmpl w:val="ADBED206"/>
    <w:lvl w:ilvl="0">
      <w:start w:val="1"/>
      <w:numFmt w:val="decimal"/>
      <w:pStyle w:val="titre4"/>
      <w:lvlText w:val="%1"/>
      <w:lvlJc w:val="left"/>
      <w:pPr>
        <w:tabs>
          <w:tab w:val="num" w:pos="1003"/>
        </w:tabs>
        <w:ind w:left="1003"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2" w15:restartNumberingAfterBreak="0">
    <w:nsid w:val="4FDF6D1F"/>
    <w:multiLevelType w:val="hybridMultilevel"/>
    <w:tmpl w:val="A3AA34AC"/>
    <w:lvl w:ilvl="0" w:tplc="FEEEAD3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19C0963"/>
    <w:multiLevelType w:val="multilevel"/>
    <w:tmpl w:val="B1CED1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5D6C4579"/>
    <w:multiLevelType w:val="hybridMultilevel"/>
    <w:tmpl w:val="11C04DB0"/>
    <w:lvl w:ilvl="0" w:tplc="07DCCF88">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17D38C8"/>
    <w:multiLevelType w:val="multilevel"/>
    <w:tmpl w:val="14CE8E72"/>
    <w:lvl w:ilvl="0">
      <w:start w:val="2"/>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B77EFF"/>
    <w:multiLevelType w:val="hybridMultilevel"/>
    <w:tmpl w:val="18BC45CE"/>
    <w:lvl w:ilvl="0" w:tplc="04050005">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BE6107"/>
    <w:multiLevelType w:val="hybridMultilevel"/>
    <w:tmpl w:val="F49A7A02"/>
    <w:lvl w:ilvl="0" w:tplc="8370F300">
      <w:start w:val="2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CA00539"/>
    <w:multiLevelType w:val="hybridMultilevel"/>
    <w:tmpl w:val="E7B0FC4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2837BA"/>
    <w:multiLevelType w:val="hybridMultilevel"/>
    <w:tmpl w:val="CC08F72E"/>
    <w:lvl w:ilvl="0" w:tplc="0405000B">
      <w:start w:val="1"/>
      <w:numFmt w:val="bullet"/>
      <w:lvlText w:val=""/>
      <w:lvlJc w:val="left"/>
      <w:pPr>
        <w:tabs>
          <w:tab w:val="num" w:pos="720"/>
        </w:tabs>
        <w:ind w:left="720" w:hanging="360"/>
      </w:pPr>
      <w:rPr>
        <w:rFonts w:ascii="Wingdings" w:hAnsi="Wingdings" w:hint="default"/>
      </w:rPr>
    </w:lvl>
    <w:lvl w:ilvl="1" w:tplc="2CBEE1B8">
      <w:start w:val="4"/>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09680042">
    <w:abstractNumId w:val="7"/>
  </w:num>
  <w:num w:numId="2" w16cid:durableId="350382088">
    <w:abstractNumId w:val="10"/>
  </w:num>
  <w:num w:numId="3" w16cid:durableId="2008708288">
    <w:abstractNumId w:val="3"/>
  </w:num>
  <w:num w:numId="4" w16cid:durableId="2035033643">
    <w:abstractNumId w:val="9"/>
  </w:num>
  <w:num w:numId="5" w16cid:durableId="1205020537">
    <w:abstractNumId w:val="1"/>
  </w:num>
  <w:num w:numId="6" w16cid:durableId="1292784013">
    <w:abstractNumId w:val="19"/>
  </w:num>
  <w:num w:numId="7" w16cid:durableId="55322304">
    <w:abstractNumId w:val="7"/>
  </w:num>
  <w:num w:numId="8" w16cid:durableId="1229219690">
    <w:abstractNumId w:val="12"/>
  </w:num>
  <w:num w:numId="9" w16cid:durableId="1552615819">
    <w:abstractNumId w:val="14"/>
  </w:num>
  <w:num w:numId="10" w16cid:durableId="1822388097">
    <w:abstractNumId w:val="7"/>
  </w:num>
  <w:num w:numId="11" w16cid:durableId="725841188">
    <w:abstractNumId w:val="11"/>
  </w:num>
  <w:num w:numId="12" w16cid:durableId="526867070">
    <w:abstractNumId w:val="5"/>
  </w:num>
  <w:num w:numId="13" w16cid:durableId="102650813">
    <w:abstractNumId w:val="4"/>
  </w:num>
  <w:num w:numId="14" w16cid:durableId="1458062111">
    <w:abstractNumId w:val="13"/>
  </w:num>
  <w:num w:numId="15" w16cid:durableId="875658329">
    <w:abstractNumId w:val="6"/>
  </w:num>
  <w:num w:numId="16" w16cid:durableId="1841509325">
    <w:abstractNumId w:val="18"/>
  </w:num>
  <w:num w:numId="17" w16cid:durableId="573123118">
    <w:abstractNumId w:val="15"/>
  </w:num>
  <w:num w:numId="18" w16cid:durableId="78017892">
    <w:abstractNumId w:val="17"/>
  </w:num>
  <w:num w:numId="19" w16cid:durableId="384062925">
    <w:abstractNumId w:val="8"/>
  </w:num>
  <w:num w:numId="20" w16cid:durableId="1255284035">
    <w:abstractNumId w:val="2"/>
  </w:num>
  <w:num w:numId="21" w16cid:durableId="1261644393">
    <w:abstractNumId w:val="0"/>
  </w:num>
  <w:num w:numId="22" w16cid:durableId="12382005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8EB"/>
    <w:rsid w:val="000072FB"/>
    <w:rsid w:val="00023109"/>
    <w:rsid w:val="000231EA"/>
    <w:rsid w:val="0002477F"/>
    <w:rsid w:val="00030236"/>
    <w:rsid w:val="00046160"/>
    <w:rsid w:val="000645EA"/>
    <w:rsid w:val="00070FD7"/>
    <w:rsid w:val="00085ACF"/>
    <w:rsid w:val="000C1BEC"/>
    <w:rsid w:val="000C5A90"/>
    <w:rsid w:val="000D1B8B"/>
    <w:rsid w:val="000D651C"/>
    <w:rsid w:val="000E08CE"/>
    <w:rsid w:val="000F6CBB"/>
    <w:rsid w:val="00111F19"/>
    <w:rsid w:val="0012430A"/>
    <w:rsid w:val="00125D07"/>
    <w:rsid w:val="001649D1"/>
    <w:rsid w:val="0017749F"/>
    <w:rsid w:val="00177D75"/>
    <w:rsid w:val="001971D3"/>
    <w:rsid w:val="001A6CFA"/>
    <w:rsid w:val="001B1B8C"/>
    <w:rsid w:val="001C27A1"/>
    <w:rsid w:val="001C33E7"/>
    <w:rsid w:val="001C4765"/>
    <w:rsid w:val="001E11B2"/>
    <w:rsid w:val="001F3947"/>
    <w:rsid w:val="001F7094"/>
    <w:rsid w:val="00203326"/>
    <w:rsid w:val="00210802"/>
    <w:rsid w:val="00223A75"/>
    <w:rsid w:val="0022697E"/>
    <w:rsid w:val="0022773E"/>
    <w:rsid w:val="0023449D"/>
    <w:rsid w:val="0024064E"/>
    <w:rsid w:val="00242D8D"/>
    <w:rsid w:val="00246FE4"/>
    <w:rsid w:val="00247E9C"/>
    <w:rsid w:val="002568D8"/>
    <w:rsid w:val="00260C4A"/>
    <w:rsid w:val="002717C6"/>
    <w:rsid w:val="002814A5"/>
    <w:rsid w:val="002A68CA"/>
    <w:rsid w:val="00303D0B"/>
    <w:rsid w:val="00316ED9"/>
    <w:rsid w:val="003552D7"/>
    <w:rsid w:val="003568A5"/>
    <w:rsid w:val="00363D0C"/>
    <w:rsid w:val="00367C07"/>
    <w:rsid w:val="0039561E"/>
    <w:rsid w:val="003A74E0"/>
    <w:rsid w:val="003B42A3"/>
    <w:rsid w:val="003B6834"/>
    <w:rsid w:val="003C66C9"/>
    <w:rsid w:val="003D4003"/>
    <w:rsid w:val="003F044C"/>
    <w:rsid w:val="003F1171"/>
    <w:rsid w:val="003F275D"/>
    <w:rsid w:val="003F3344"/>
    <w:rsid w:val="004065AB"/>
    <w:rsid w:val="00411777"/>
    <w:rsid w:val="00452A07"/>
    <w:rsid w:val="00476F06"/>
    <w:rsid w:val="004872E1"/>
    <w:rsid w:val="0049469D"/>
    <w:rsid w:val="004B5EA9"/>
    <w:rsid w:val="004C0E71"/>
    <w:rsid w:val="004D131E"/>
    <w:rsid w:val="004D4BA3"/>
    <w:rsid w:val="004F0E2F"/>
    <w:rsid w:val="004F7E8D"/>
    <w:rsid w:val="00501A63"/>
    <w:rsid w:val="00503AC4"/>
    <w:rsid w:val="005108F6"/>
    <w:rsid w:val="0053374D"/>
    <w:rsid w:val="005401F5"/>
    <w:rsid w:val="005443D4"/>
    <w:rsid w:val="0054552A"/>
    <w:rsid w:val="00553FF6"/>
    <w:rsid w:val="0055570E"/>
    <w:rsid w:val="0056448E"/>
    <w:rsid w:val="00566A17"/>
    <w:rsid w:val="00571E6C"/>
    <w:rsid w:val="00577939"/>
    <w:rsid w:val="0058307C"/>
    <w:rsid w:val="00584C7F"/>
    <w:rsid w:val="0058668D"/>
    <w:rsid w:val="005966DD"/>
    <w:rsid w:val="005A1163"/>
    <w:rsid w:val="005B5B00"/>
    <w:rsid w:val="005B7228"/>
    <w:rsid w:val="005D0DB5"/>
    <w:rsid w:val="005E05CE"/>
    <w:rsid w:val="005E7A6C"/>
    <w:rsid w:val="005F5BE8"/>
    <w:rsid w:val="005F5E19"/>
    <w:rsid w:val="005F6A50"/>
    <w:rsid w:val="005F6EE3"/>
    <w:rsid w:val="00600ACD"/>
    <w:rsid w:val="00611890"/>
    <w:rsid w:val="00622684"/>
    <w:rsid w:val="00625543"/>
    <w:rsid w:val="00632990"/>
    <w:rsid w:val="00635B09"/>
    <w:rsid w:val="00641BC3"/>
    <w:rsid w:val="00643E27"/>
    <w:rsid w:val="00663001"/>
    <w:rsid w:val="00676B81"/>
    <w:rsid w:val="00687B6C"/>
    <w:rsid w:val="0069709C"/>
    <w:rsid w:val="006C124E"/>
    <w:rsid w:val="006C3497"/>
    <w:rsid w:val="006D131B"/>
    <w:rsid w:val="006E7E25"/>
    <w:rsid w:val="006F0C4A"/>
    <w:rsid w:val="006F1A0E"/>
    <w:rsid w:val="006F5389"/>
    <w:rsid w:val="006F69D7"/>
    <w:rsid w:val="00706D19"/>
    <w:rsid w:val="00713ADE"/>
    <w:rsid w:val="007177E2"/>
    <w:rsid w:val="0072288B"/>
    <w:rsid w:val="007A20A3"/>
    <w:rsid w:val="007A544E"/>
    <w:rsid w:val="007A7790"/>
    <w:rsid w:val="007B4E5F"/>
    <w:rsid w:val="007C17AA"/>
    <w:rsid w:val="007C1F14"/>
    <w:rsid w:val="007C5A3F"/>
    <w:rsid w:val="007C70D7"/>
    <w:rsid w:val="007C7275"/>
    <w:rsid w:val="007D7FE6"/>
    <w:rsid w:val="007E10A0"/>
    <w:rsid w:val="007F5025"/>
    <w:rsid w:val="007F6791"/>
    <w:rsid w:val="008038EB"/>
    <w:rsid w:val="00806440"/>
    <w:rsid w:val="008068BD"/>
    <w:rsid w:val="008132BF"/>
    <w:rsid w:val="00820F4F"/>
    <w:rsid w:val="008311F6"/>
    <w:rsid w:val="008321EA"/>
    <w:rsid w:val="00833DDC"/>
    <w:rsid w:val="0084429E"/>
    <w:rsid w:val="008550E5"/>
    <w:rsid w:val="00883ABD"/>
    <w:rsid w:val="00883B78"/>
    <w:rsid w:val="00886EC0"/>
    <w:rsid w:val="008924E1"/>
    <w:rsid w:val="008972A9"/>
    <w:rsid w:val="00897C23"/>
    <w:rsid w:val="008A0BA8"/>
    <w:rsid w:val="008A5834"/>
    <w:rsid w:val="008A6AA3"/>
    <w:rsid w:val="008B3BCD"/>
    <w:rsid w:val="008C1052"/>
    <w:rsid w:val="008C18A8"/>
    <w:rsid w:val="008D3E19"/>
    <w:rsid w:val="008D77EA"/>
    <w:rsid w:val="008E5D00"/>
    <w:rsid w:val="008F4AF0"/>
    <w:rsid w:val="00904F61"/>
    <w:rsid w:val="00916F25"/>
    <w:rsid w:val="00931116"/>
    <w:rsid w:val="00934546"/>
    <w:rsid w:val="00936886"/>
    <w:rsid w:val="0094188D"/>
    <w:rsid w:val="009420A7"/>
    <w:rsid w:val="00942565"/>
    <w:rsid w:val="00942FE9"/>
    <w:rsid w:val="0094508F"/>
    <w:rsid w:val="009523AC"/>
    <w:rsid w:val="009614D8"/>
    <w:rsid w:val="0096644E"/>
    <w:rsid w:val="00966B60"/>
    <w:rsid w:val="009714E8"/>
    <w:rsid w:val="00972597"/>
    <w:rsid w:val="0097715C"/>
    <w:rsid w:val="009818B1"/>
    <w:rsid w:val="00982B57"/>
    <w:rsid w:val="009835D4"/>
    <w:rsid w:val="00984F55"/>
    <w:rsid w:val="00991A66"/>
    <w:rsid w:val="009A2E9B"/>
    <w:rsid w:val="009A406E"/>
    <w:rsid w:val="009B07DF"/>
    <w:rsid w:val="009B392D"/>
    <w:rsid w:val="009B52BE"/>
    <w:rsid w:val="009B6BE2"/>
    <w:rsid w:val="009E3A56"/>
    <w:rsid w:val="009E7004"/>
    <w:rsid w:val="009E72B7"/>
    <w:rsid w:val="009F28AC"/>
    <w:rsid w:val="009F723D"/>
    <w:rsid w:val="00A04AAE"/>
    <w:rsid w:val="00A070C6"/>
    <w:rsid w:val="00A13C0E"/>
    <w:rsid w:val="00A14AB0"/>
    <w:rsid w:val="00A254EC"/>
    <w:rsid w:val="00A26365"/>
    <w:rsid w:val="00A37F85"/>
    <w:rsid w:val="00A455B9"/>
    <w:rsid w:val="00A57C7D"/>
    <w:rsid w:val="00A62B8D"/>
    <w:rsid w:val="00A83F96"/>
    <w:rsid w:val="00AA6025"/>
    <w:rsid w:val="00AB00FB"/>
    <w:rsid w:val="00AD1A90"/>
    <w:rsid w:val="00AE16B0"/>
    <w:rsid w:val="00AE2A52"/>
    <w:rsid w:val="00AE794A"/>
    <w:rsid w:val="00AF1815"/>
    <w:rsid w:val="00B00015"/>
    <w:rsid w:val="00B228ED"/>
    <w:rsid w:val="00B305EA"/>
    <w:rsid w:val="00B34529"/>
    <w:rsid w:val="00B71AF8"/>
    <w:rsid w:val="00B71B8C"/>
    <w:rsid w:val="00B851CA"/>
    <w:rsid w:val="00B93810"/>
    <w:rsid w:val="00BA0B12"/>
    <w:rsid w:val="00BB4A6A"/>
    <w:rsid w:val="00BC2BF5"/>
    <w:rsid w:val="00BC3D1F"/>
    <w:rsid w:val="00BC4DD2"/>
    <w:rsid w:val="00BC4E28"/>
    <w:rsid w:val="00BE33D8"/>
    <w:rsid w:val="00BE681E"/>
    <w:rsid w:val="00BF0D6E"/>
    <w:rsid w:val="00BF4C6F"/>
    <w:rsid w:val="00BF5EDB"/>
    <w:rsid w:val="00C041C9"/>
    <w:rsid w:val="00C1335A"/>
    <w:rsid w:val="00C17979"/>
    <w:rsid w:val="00C24208"/>
    <w:rsid w:val="00C277EC"/>
    <w:rsid w:val="00C309D2"/>
    <w:rsid w:val="00C419E2"/>
    <w:rsid w:val="00C622C1"/>
    <w:rsid w:val="00C64CE9"/>
    <w:rsid w:val="00C80880"/>
    <w:rsid w:val="00C84A1A"/>
    <w:rsid w:val="00C94BD6"/>
    <w:rsid w:val="00C94F94"/>
    <w:rsid w:val="00C95F92"/>
    <w:rsid w:val="00C965A8"/>
    <w:rsid w:val="00CA544D"/>
    <w:rsid w:val="00CA7F84"/>
    <w:rsid w:val="00CB3071"/>
    <w:rsid w:val="00CB7736"/>
    <w:rsid w:val="00CC699F"/>
    <w:rsid w:val="00CD5158"/>
    <w:rsid w:val="00CD6E6E"/>
    <w:rsid w:val="00CE00D3"/>
    <w:rsid w:val="00CE4180"/>
    <w:rsid w:val="00CE7CE9"/>
    <w:rsid w:val="00D009AD"/>
    <w:rsid w:val="00D03792"/>
    <w:rsid w:val="00D11FF2"/>
    <w:rsid w:val="00D16EF1"/>
    <w:rsid w:val="00D21C96"/>
    <w:rsid w:val="00D25B7C"/>
    <w:rsid w:val="00D30602"/>
    <w:rsid w:val="00D30ADF"/>
    <w:rsid w:val="00D33846"/>
    <w:rsid w:val="00D36CB2"/>
    <w:rsid w:val="00D4094F"/>
    <w:rsid w:val="00D53DED"/>
    <w:rsid w:val="00D541D0"/>
    <w:rsid w:val="00D55AE5"/>
    <w:rsid w:val="00D56E89"/>
    <w:rsid w:val="00D95C7B"/>
    <w:rsid w:val="00DA60D8"/>
    <w:rsid w:val="00DD1B2F"/>
    <w:rsid w:val="00DD75A3"/>
    <w:rsid w:val="00DF40E4"/>
    <w:rsid w:val="00DF759F"/>
    <w:rsid w:val="00E04A38"/>
    <w:rsid w:val="00E10FCA"/>
    <w:rsid w:val="00E118AD"/>
    <w:rsid w:val="00E37383"/>
    <w:rsid w:val="00E46E54"/>
    <w:rsid w:val="00E5547E"/>
    <w:rsid w:val="00E602A2"/>
    <w:rsid w:val="00E71FD3"/>
    <w:rsid w:val="00E865A5"/>
    <w:rsid w:val="00E87968"/>
    <w:rsid w:val="00E91B70"/>
    <w:rsid w:val="00E927E6"/>
    <w:rsid w:val="00EA6036"/>
    <w:rsid w:val="00EB1059"/>
    <w:rsid w:val="00EC40D0"/>
    <w:rsid w:val="00EC514F"/>
    <w:rsid w:val="00ED76A4"/>
    <w:rsid w:val="00EE4EB6"/>
    <w:rsid w:val="00EF76DF"/>
    <w:rsid w:val="00EF7EFF"/>
    <w:rsid w:val="00F14981"/>
    <w:rsid w:val="00F17B35"/>
    <w:rsid w:val="00F3178B"/>
    <w:rsid w:val="00F5183A"/>
    <w:rsid w:val="00F534FF"/>
    <w:rsid w:val="00F6776C"/>
    <w:rsid w:val="00F71154"/>
    <w:rsid w:val="00F71EDB"/>
    <w:rsid w:val="00F8199A"/>
    <w:rsid w:val="00F85FE3"/>
    <w:rsid w:val="00F8665B"/>
    <w:rsid w:val="00FA0946"/>
    <w:rsid w:val="00FA53BA"/>
    <w:rsid w:val="00FA7B3C"/>
    <w:rsid w:val="00FB6092"/>
    <w:rsid w:val="00FD07F1"/>
    <w:rsid w:val="00FE0984"/>
    <w:rsid w:val="00FE2E2E"/>
    <w:rsid w:val="00FF10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3832A4D"/>
  <w15:chartTrackingRefBased/>
  <w15:docId w15:val="{BCB51EFF-FF0F-4345-895D-F07509E0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8EB"/>
    <w:rPr>
      <w:sz w:val="24"/>
      <w:szCs w:val="24"/>
    </w:rPr>
  </w:style>
  <w:style w:type="paragraph" w:styleId="Nadpis1">
    <w:name w:val="heading 1"/>
    <w:basedOn w:val="Normln"/>
    <w:next w:val="Normln"/>
    <w:qFormat/>
    <w:rsid w:val="008311F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401F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autoRedefine/>
    <w:qFormat/>
    <w:rsid w:val="008038EB"/>
    <w:pPr>
      <w:keepNext/>
      <w:spacing w:before="240" w:after="60"/>
      <w:outlineLvl w:val="2"/>
    </w:pPr>
    <w:rPr>
      <w:b/>
      <w:sz w:val="22"/>
      <w:szCs w:val="22"/>
    </w:rPr>
  </w:style>
  <w:style w:type="paragraph" w:styleId="Nadpis4">
    <w:name w:val="heading 4"/>
    <w:basedOn w:val="Normln"/>
    <w:next w:val="Normln"/>
    <w:qFormat/>
    <w:rsid w:val="001649D1"/>
    <w:pPr>
      <w:keepNext/>
      <w:tabs>
        <w:tab w:val="num" w:pos="864"/>
      </w:tabs>
      <w:spacing w:before="240" w:after="60"/>
      <w:ind w:left="864" w:hanging="864"/>
      <w:outlineLvl w:val="3"/>
    </w:pPr>
    <w:rPr>
      <w:b/>
      <w:bCs/>
      <w:sz w:val="28"/>
      <w:szCs w:val="28"/>
    </w:rPr>
  </w:style>
  <w:style w:type="paragraph" w:styleId="Nadpis5">
    <w:name w:val="heading 5"/>
    <w:basedOn w:val="Normln"/>
    <w:next w:val="Normln"/>
    <w:qFormat/>
    <w:rsid w:val="001649D1"/>
    <w:pPr>
      <w:tabs>
        <w:tab w:val="num" w:pos="1008"/>
      </w:tabs>
      <w:spacing w:before="240" w:after="60"/>
      <w:ind w:left="1008" w:hanging="1008"/>
      <w:outlineLvl w:val="4"/>
    </w:pPr>
    <w:rPr>
      <w:b/>
      <w:bCs/>
      <w:i/>
      <w:iCs/>
      <w:sz w:val="26"/>
      <w:szCs w:val="26"/>
    </w:rPr>
  </w:style>
  <w:style w:type="paragraph" w:styleId="Nadpis6">
    <w:name w:val="heading 6"/>
    <w:basedOn w:val="Normln"/>
    <w:next w:val="Normln"/>
    <w:qFormat/>
    <w:rsid w:val="001649D1"/>
    <w:pPr>
      <w:tabs>
        <w:tab w:val="num" w:pos="1152"/>
      </w:tabs>
      <w:spacing w:before="240" w:after="60"/>
      <w:ind w:left="1152" w:hanging="1152"/>
      <w:outlineLvl w:val="5"/>
    </w:pPr>
    <w:rPr>
      <w:b/>
      <w:bCs/>
      <w:sz w:val="22"/>
      <w:szCs w:val="22"/>
    </w:rPr>
  </w:style>
  <w:style w:type="paragraph" w:styleId="Nadpis7">
    <w:name w:val="heading 7"/>
    <w:basedOn w:val="Normln"/>
    <w:next w:val="Normln"/>
    <w:qFormat/>
    <w:rsid w:val="001649D1"/>
    <w:pPr>
      <w:tabs>
        <w:tab w:val="num" w:pos="1296"/>
      </w:tabs>
      <w:spacing w:before="240" w:after="60"/>
      <w:ind w:left="1296" w:hanging="1296"/>
      <w:outlineLvl w:val="6"/>
    </w:pPr>
  </w:style>
  <w:style w:type="paragraph" w:styleId="Nadpis8">
    <w:name w:val="heading 8"/>
    <w:basedOn w:val="Normln"/>
    <w:next w:val="Normln"/>
    <w:qFormat/>
    <w:rsid w:val="001649D1"/>
    <w:pPr>
      <w:tabs>
        <w:tab w:val="num" w:pos="1440"/>
      </w:tabs>
      <w:spacing w:before="240" w:after="60"/>
      <w:ind w:left="1440" w:hanging="1440"/>
      <w:outlineLvl w:val="7"/>
    </w:pPr>
    <w:rPr>
      <w:i/>
      <w:iCs/>
    </w:rPr>
  </w:style>
  <w:style w:type="paragraph" w:styleId="Nadpis9">
    <w:name w:val="heading 9"/>
    <w:basedOn w:val="Normln"/>
    <w:next w:val="Normln"/>
    <w:qFormat/>
    <w:rsid w:val="001649D1"/>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8311F6"/>
    <w:pPr>
      <w:tabs>
        <w:tab w:val="center" w:pos="4536"/>
        <w:tab w:val="right" w:pos="9072"/>
      </w:tabs>
    </w:pPr>
  </w:style>
  <w:style w:type="paragraph" w:styleId="Zpat">
    <w:name w:val="footer"/>
    <w:basedOn w:val="Normln"/>
    <w:rsid w:val="008311F6"/>
    <w:pPr>
      <w:tabs>
        <w:tab w:val="center" w:pos="4536"/>
        <w:tab w:val="right" w:pos="9072"/>
      </w:tabs>
    </w:pPr>
  </w:style>
  <w:style w:type="character" w:styleId="slostrnky">
    <w:name w:val="page number"/>
    <w:basedOn w:val="Standardnpsmoodstavce"/>
    <w:rsid w:val="00687B6C"/>
  </w:style>
  <w:style w:type="paragraph" w:customStyle="1" w:styleId="DefaultText">
    <w:name w:val="Default Text"/>
    <w:basedOn w:val="Normln"/>
    <w:rsid w:val="005966DD"/>
    <w:rPr>
      <w:snapToGrid w:val="0"/>
      <w:szCs w:val="20"/>
      <w:lang w:val="en-US" w:eastAsia="en-US"/>
    </w:rPr>
  </w:style>
  <w:style w:type="paragraph" w:customStyle="1" w:styleId="Bullet">
    <w:name w:val="Bullet"/>
    <w:rsid w:val="00942FE9"/>
    <w:pPr>
      <w:ind w:left="288"/>
    </w:pPr>
    <w:rPr>
      <w:snapToGrid w:val="0"/>
      <w:color w:val="000000"/>
      <w:sz w:val="24"/>
      <w:lang w:val="en-GB" w:eastAsia="en-US"/>
    </w:rPr>
  </w:style>
  <w:style w:type="table" w:styleId="Mkatabulky">
    <w:name w:val="Table Grid"/>
    <w:basedOn w:val="Normlntabulka"/>
    <w:rsid w:val="004D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
    <w:name w:val="Char Char Char Char Char Char Char Char Char Char Char Char"/>
    <w:basedOn w:val="Normln"/>
    <w:rsid w:val="00883B78"/>
    <w:pPr>
      <w:spacing w:after="160" w:line="240" w:lineRule="exact"/>
    </w:pPr>
    <w:rPr>
      <w:rFonts w:ascii="Arial" w:hAnsi="Arial"/>
      <w:sz w:val="20"/>
      <w:szCs w:val="20"/>
      <w:lang w:val="en-US" w:eastAsia="en-US"/>
    </w:rPr>
  </w:style>
  <w:style w:type="paragraph" w:customStyle="1" w:styleId="titre4">
    <w:name w:val="titre4"/>
    <w:basedOn w:val="Normln"/>
    <w:rsid w:val="00E5547E"/>
    <w:pPr>
      <w:numPr>
        <w:numId w:val="11"/>
      </w:numPr>
      <w:tabs>
        <w:tab w:val="decimal" w:pos="357"/>
      </w:tabs>
      <w:ind w:left="357" w:hanging="357"/>
    </w:pPr>
    <w:rPr>
      <w:rFonts w:ascii="Arial" w:hAnsi="Arial"/>
      <w:b/>
      <w:snapToGrid w:val="0"/>
      <w:szCs w:val="20"/>
      <w:lang w:val="en-GB" w:eastAsia="en-US"/>
    </w:rPr>
  </w:style>
  <w:style w:type="paragraph" w:customStyle="1" w:styleId="CharCharCharCharCharCharCharCharCharCharCharChar0">
    <w:name w:val="Char Char Char Char Char Char Char Char Char Char Char Char"/>
    <w:basedOn w:val="Normln"/>
    <w:rsid w:val="00E5547E"/>
    <w:pPr>
      <w:spacing w:after="160" w:line="240" w:lineRule="exact"/>
    </w:pPr>
    <w:rPr>
      <w:rFonts w:ascii="Arial" w:hAnsi="Arial"/>
      <w:sz w:val="20"/>
      <w:szCs w:val="20"/>
      <w:lang w:val="en-US" w:eastAsia="en-US"/>
    </w:rPr>
  </w:style>
  <w:style w:type="character" w:styleId="Hypertextovodkaz">
    <w:name w:val="Hyperlink"/>
    <w:basedOn w:val="Standardnpsmoodstavce"/>
    <w:rsid w:val="00E5547E"/>
    <w:rPr>
      <w:color w:val="0563C1" w:themeColor="hyperlink"/>
      <w:u w:val="single"/>
    </w:rPr>
  </w:style>
  <w:style w:type="character" w:customStyle="1" w:styleId="Nevyeenzmnka1">
    <w:name w:val="Nevyřešená zmínka1"/>
    <w:basedOn w:val="Standardnpsmoodstavce"/>
    <w:uiPriority w:val="99"/>
    <w:semiHidden/>
    <w:unhideWhenUsed/>
    <w:rsid w:val="00E5547E"/>
    <w:rPr>
      <w:color w:val="605E5C"/>
      <w:shd w:val="clear" w:color="auto" w:fill="E1DFDD"/>
    </w:rPr>
  </w:style>
  <w:style w:type="character" w:styleId="Odkaznakoment">
    <w:name w:val="annotation reference"/>
    <w:basedOn w:val="Standardnpsmoodstavce"/>
    <w:rsid w:val="00247E9C"/>
    <w:rPr>
      <w:sz w:val="16"/>
      <w:szCs w:val="16"/>
    </w:rPr>
  </w:style>
  <w:style w:type="paragraph" w:styleId="Textkomente">
    <w:name w:val="annotation text"/>
    <w:basedOn w:val="Normln"/>
    <w:link w:val="TextkomenteChar"/>
    <w:rsid w:val="00247E9C"/>
    <w:rPr>
      <w:sz w:val="20"/>
      <w:szCs w:val="20"/>
    </w:rPr>
  </w:style>
  <w:style w:type="character" w:customStyle="1" w:styleId="TextkomenteChar">
    <w:name w:val="Text komentáře Char"/>
    <w:basedOn w:val="Standardnpsmoodstavce"/>
    <w:link w:val="Textkomente"/>
    <w:rsid w:val="00247E9C"/>
  </w:style>
  <w:style w:type="paragraph" w:styleId="Pedmtkomente">
    <w:name w:val="annotation subject"/>
    <w:basedOn w:val="Textkomente"/>
    <w:next w:val="Textkomente"/>
    <w:link w:val="PedmtkomenteChar"/>
    <w:rsid w:val="00247E9C"/>
    <w:rPr>
      <w:b/>
      <w:bCs/>
    </w:rPr>
  </w:style>
  <w:style w:type="character" w:customStyle="1" w:styleId="PedmtkomenteChar">
    <w:name w:val="Předmět komentáře Char"/>
    <w:basedOn w:val="TextkomenteChar"/>
    <w:link w:val="Pedmtkomente"/>
    <w:rsid w:val="00247E9C"/>
    <w:rPr>
      <w:b/>
      <w:bCs/>
    </w:rPr>
  </w:style>
  <w:style w:type="paragraph" w:styleId="Textbubliny">
    <w:name w:val="Balloon Text"/>
    <w:basedOn w:val="Normln"/>
    <w:link w:val="TextbublinyChar"/>
    <w:semiHidden/>
    <w:unhideWhenUsed/>
    <w:rsid w:val="00247E9C"/>
    <w:rPr>
      <w:rFonts w:ascii="Segoe UI" w:hAnsi="Segoe UI" w:cs="Segoe UI"/>
      <w:sz w:val="18"/>
      <w:szCs w:val="18"/>
    </w:rPr>
  </w:style>
  <w:style w:type="character" w:customStyle="1" w:styleId="TextbublinyChar">
    <w:name w:val="Text bubliny Char"/>
    <w:basedOn w:val="Standardnpsmoodstavce"/>
    <w:link w:val="Textbubliny"/>
    <w:semiHidden/>
    <w:rsid w:val="00247E9C"/>
    <w:rPr>
      <w:rFonts w:ascii="Segoe UI" w:hAnsi="Segoe UI" w:cs="Segoe UI"/>
      <w:sz w:val="18"/>
      <w:szCs w:val="18"/>
    </w:rPr>
  </w:style>
  <w:style w:type="paragraph" w:styleId="Odstavecseseznamem">
    <w:name w:val="List Paragraph"/>
    <w:basedOn w:val="Normln"/>
    <w:uiPriority w:val="34"/>
    <w:qFormat/>
    <w:rsid w:val="00247E9C"/>
    <w:pPr>
      <w:ind w:left="720"/>
      <w:contextualSpacing/>
    </w:pPr>
  </w:style>
  <w:style w:type="paragraph" w:styleId="Bezmezer">
    <w:name w:val="No Spacing"/>
    <w:uiPriority w:val="1"/>
    <w:qFormat/>
    <w:rsid w:val="00CC69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0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aha17.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2330</Words>
  <Characters>13474</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Pojistný program</vt:lpstr>
    </vt:vector>
  </TitlesOfParts>
  <Company>HP</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Pojistný program</dc:title>
  <dc:subject/>
  <dc:creator>Marek Vondra</dc:creator>
  <cp:keywords/>
  <cp:lastModifiedBy>Kubík Zbyněk</cp:lastModifiedBy>
  <cp:revision>9</cp:revision>
  <cp:lastPrinted>2010-11-22T12:45:00Z</cp:lastPrinted>
  <dcterms:created xsi:type="dcterms:W3CDTF">2026-03-16T14:27:00Z</dcterms:created>
  <dcterms:modified xsi:type="dcterms:W3CDTF">2026-03-18T11:12:00Z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283cd4-40d8-4b4e-b666-5881e4d226e3_Enabled">
    <vt:lpwstr>true</vt:lpwstr>
  </property>
  <property fmtid="{D5CDD505-2E9C-101B-9397-08002B2CF9AE}" pid="3" name="MSIP_Label_8d283cd4-40d8-4b4e-b666-5881e4d226e3_SetDate">
    <vt:lpwstr>2024-03-28T08:04:40Z</vt:lpwstr>
  </property>
  <property fmtid="{D5CDD505-2E9C-101B-9397-08002B2CF9AE}" pid="4" name="MSIP_Label_8d283cd4-40d8-4b4e-b666-5881e4d226e3_Method">
    <vt:lpwstr>Standard</vt:lpwstr>
  </property>
  <property fmtid="{D5CDD505-2E9C-101B-9397-08002B2CF9AE}" pid="5" name="MSIP_Label_8d283cd4-40d8-4b4e-b666-5881e4d226e3_Name">
    <vt:lpwstr>Public</vt:lpwstr>
  </property>
  <property fmtid="{D5CDD505-2E9C-101B-9397-08002B2CF9AE}" pid="6" name="MSIP_Label_8d283cd4-40d8-4b4e-b666-5881e4d226e3_SiteId">
    <vt:lpwstr>8b52ecaa-f734-4a0c-9b2d-ab31beeb4028</vt:lpwstr>
  </property>
  <property fmtid="{D5CDD505-2E9C-101B-9397-08002B2CF9AE}" pid="7" name="MSIP_Label_8d283cd4-40d8-4b4e-b666-5881e4d226e3_ActionId">
    <vt:lpwstr>563858d3-e8e7-4d5b-8fdf-c22de4020870</vt:lpwstr>
  </property>
  <property fmtid="{D5CDD505-2E9C-101B-9397-08002B2CF9AE}" pid="8" name="MSIP_Label_8d283cd4-40d8-4b4e-b666-5881e4d226e3_ContentBits">
    <vt:lpwstr>0</vt:lpwstr>
  </property>
</Properties>
</file>